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7232A" w14:textId="77777777" w:rsidR="00732823" w:rsidRPr="006F3863" w:rsidRDefault="00732823" w:rsidP="0055274D">
      <w:pPr>
        <w:spacing w:line="240" w:lineRule="auto"/>
        <w:outlineLvl w:val="0"/>
        <w:rPr>
          <w:rFonts w:ascii="Times" w:hAnsi="Times"/>
        </w:rPr>
      </w:pPr>
      <w:r w:rsidRPr="006F3863">
        <w:rPr>
          <w:rFonts w:ascii="Times" w:hAnsi="Times"/>
        </w:rPr>
        <w:t>Lengthened cold stratification improves bulk whitebark pine germination</w:t>
      </w:r>
    </w:p>
    <w:p w14:paraId="28ACCADD" w14:textId="77777777" w:rsidR="00732823" w:rsidRPr="006F3863" w:rsidRDefault="00732823" w:rsidP="0055274D">
      <w:pPr>
        <w:spacing w:line="240" w:lineRule="auto"/>
        <w:outlineLvl w:val="0"/>
        <w:rPr>
          <w:rFonts w:ascii="Times" w:hAnsi="Times"/>
        </w:rPr>
      </w:pPr>
      <w:r w:rsidRPr="006F3863">
        <w:rPr>
          <w:rFonts w:ascii="Times" w:hAnsi="Times"/>
        </w:rPr>
        <w:t>Nathan Robertson, Kent Eggleston, Emily Overton, and Marie McLaughlin</w:t>
      </w:r>
    </w:p>
    <w:p w14:paraId="07EF5A81" w14:textId="77777777" w:rsidR="00732823" w:rsidRPr="006F3863" w:rsidRDefault="00732823" w:rsidP="006F3863">
      <w:pPr>
        <w:spacing w:line="240" w:lineRule="auto"/>
        <w:rPr>
          <w:rFonts w:ascii="Times" w:hAnsi="Times"/>
        </w:rPr>
      </w:pPr>
      <w:r w:rsidRPr="006F3863">
        <w:rPr>
          <w:rFonts w:ascii="Times" w:hAnsi="Times"/>
        </w:rPr>
        <w:t xml:space="preserve">Nathan Robertson is Horticulturist, USDA FS Coeur D’ Alene Nursery, </w:t>
      </w:r>
      <w:proofErr w:type="gramStart"/>
      <w:r w:rsidRPr="006F3863">
        <w:rPr>
          <w:rFonts w:ascii="Times" w:hAnsi="Times"/>
        </w:rPr>
        <w:t>Coeur</w:t>
      </w:r>
      <w:proofErr w:type="gramEnd"/>
      <w:r w:rsidRPr="006F3863">
        <w:rPr>
          <w:rFonts w:ascii="Times" w:hAnsi="Times"/>
        </w:rPr>
        <w:t xml:space="preserve"> D’ Alene, ID 83815; email </w:t>
      </w:r>
      <w:hyperlink r:id="rId6" w:history="1">
        <w:r w:rsidRPr="006F3863">
          <w:rPr>
            <w:rStyle w:val="Hipervnculo"/>
            <w:rFonts w:ascii="Times" w:hAnsi="Times"/>
          </w:rPr>
          <w:t>ndrobertson@fs.fed.us</w:t>
        </w:r>
      </w:hyperlink>
      <w:r w:rsidRPr="006F3863">
        <w:rPr>
          <w:rFonts w:ascii="Times" w:hAnsi="Times"/>
        </w:rPr>
        <w:t>.</w:t>
      </w:r>
    </w:p>
    <w:p w14:paraId="046FAEA7" w14:textId="77777777" w:rsidR="00732823" w:rsidRPr="006F3863" w:rsidRDefault="00732823" w:rsidP="006F3863">
      <w:pPr>
        <w:spacing w:line="240" w:lineRule="auto"/>
        <w:rPr>
          <w:rFonts w:ascii="Times" w:hAnsi="Times"/>
        </w:rPr>
      </w:pPr>
      <w:r w:rsidRPr="006F3863">
        <w:rPr>
          <w:rFonts w:ascii="Times" w:hAnsi="Times"/>
        </w:rPr>
        <w:t xml:space="preserve">Kent Eggleston is Horticulturist, USDA FS Coeur D’ Alene Nursery, </w:t>
      </w:r>
      <w:proofErr w:type="gramStart"/>
      <w:r w:rsidRPr="006F3863">
        <w:rPr>
          <w:rFonts w:ascii="Times" w:hAnsi="Times"/>
        </w:rPr>
        <w:t>Coeur</w:t>
      </w:r>
      <w:proofErr w:type="gramEnd"/>
      <w:r w:rsidRPr="006F3863">
        <w:rPr>
          <w:rFonts w:ascii="Times" w:hAnsi="Times"/>
        </w:rPr>
        <w:t xml:space="preserve"> D’ Alene, ID 83815; email </w:t>
      </w:r>
      <w:hyperlink r:id="rId7" w:history="1">
        <w:r w:rsidRPr="006F3863">
          <w:rPr>
            <w:rStyle w:val="Hipervnculo"/>
            <w:rFonts w:ascii="Times" w:hAnsi="Times"/>
          </w:rPr>
          <w:t>keggleston@fs.fed.us</w:t>
        </w:r>
      </w:hyperlink>
      <w:r w:rsidRPr="006F3863">
        <w:rPr>
          <w:rFonts w:ascii="Times" w:hAnsi="Times"/>
        </w:rPr>
        <w:t>.</w:t>
      </w:r>
    </w:p>
    <w:p w14:paraId="4B8C0174" w14:textId="77777777" w:rsidR="00732823" w:rsidRPr="006F3863" w:rsidRDefault="00732823" w:rsidP="006F3863">
      <w:pPr>
        <w:spacing w:line="240" w:lineRule="auto"/>
        <w:rPr>
          <w:rFonts w:ascii="Times" w:hAnsi="Times"/>
        </w:rPr>
      </w:pPr>
      <w:r w:rsidRPr="006F3863">
        <w:rPr>
          <w:rFonts w:ascii="Times" w:hAnsi="Times"/>
        </w:rPr>
        <w:t xml:space="preserve">Emily Overton is SCEP Trainee, USDA FS Coeur D’ Alene Nursery, </w:t>
      </w:r>
      <w:proofErr w:type="gramStart"/>
      <w:r w:rsidRPr="006F3863">
        <w:rPr>
          <w:rFonts w:ascii="Times" w:hAnsi="Times"/>
        </w:rPr>
        <w:t>Coeur</w:t>
      </w:r>
      <w:proofErr w:type="gramEnd"/>
      <w:r w:rsidRPr="006F3863">
        <w:rPr>
          <w:rFonts w:ascii="Times" w:hAnsi="Times"/>
        </w:rPr>
        <w:t xml:space="preserve"> D’ Alene, ID 83815; email </w:t>
      </w:r>
      <w:hyperlink r:id="rId8" w:history="1">
        <w:r w:rsidRPr="006F3863">
          <w:rPr>
            <w:rStyle w:val="Hipervnculo"/>
            <w:rFonts w:ascii="Times" w:hAnsi="Times"/>
          </w:rPr>
          <w:t>overtonec@gmail.com</w:t>
        </w:r>
      </w:hyperlink>
      <w:r w:rsidRPr="006F3863">
        <w:rPr>
          <w:rFonts w:ascii="Times" w:hAnsi="Times"/>
        </w:rPr>
        <w:t>.</w:t>
      </w:r>
    </w:p>
    <w:p w14:paraId="55208F3D" w14:textId="77777777" w:rsidR="00732823" w:rsidRPr="006F3863" w:rsidRDefault="00732823" w:rsidP="006F3863">
      <w:pPr>
        <w:spacing w:line="240" w:lineRule="auto"/>
        <w:rPr>
          <w:rFonts w:ascii="Times" w:hAnsi="Times"/>
        </w:rPr>
      </w:pPr>
      <w:r w:rsidRPr="006F3863">
        <w:rPr>
          <w:rFonts w:ascii="Times" w:hAnsi="Times"/>
        </w:rPr>
        <w:t xml:space="preserve">Marie McLaughlin is Seed Orchard Manager, USDA FS Sandpoint Ranger District, </w:t>
      </w:r>
      <w:proofErr w:type="gramStart"/>
      <w:r w:rsidRPr="006F3863">
        <w:rPr>
          <w:rFonts w:ascii="Times" w:hAnsi="Times"/>
        </w:rPr>
        <w:t>Sandpoint</w:t>
      </w:r>
      <w:proofErr w:type="gramEnd"/>
      <w:r w:rsidRPr="006F3863">
        <w:rPr>
          <w:rFonts w:ascii="Times" w:hAnsi="Times"/>
        </w:rPr>
        <w:t xml:space="preserve">, ID 83864; email </w:t>
      </w:r>
      <w:hyperlink r:id="rId9" w:history="1">
        <w:r w:rsidRPr="006F3863">
          <w:rPr>
            <w:rStyle w:val="Hipervnculo"/>
            <w:rFonts w:ascii="Times" w:hAnsi="Times"/>
          </w:rPr>
          <w:t>mmclaughlin01@fs.fed.us</w:t>
        </w:r>
      </w:hyperlink>
      <w:r w:rsidRPr="006F3863">
        <w:rPr>
          <w:rFonts w:ascii="Times" w:hAnsi="Times"/>
        </w:rPr>
        <w:t>.</w:t>
      </w:r>
    </w:p>
    <w:p w14:paraId="5D23F7AB" w14:textId="77777777" w:rsidR="007550D6" w:rsidRPr="006F3863" w:rsidRDefault="007550D6" w:rsidP="006F3863">
      <w:pPr>
        <w:spacing w:line="240" w:lineRule="auto"/>
        <w:rPr>
          <w:rFonts w:ascii="Times" w:hAnsi="Times"/>
        </w:rPr>
      </w:pPr>
    </w:p>
    <w:p w14:paraId="47E13329" w14:textId="7FA78ECC" w:rsidR="006F3863" w:rsidRPr="006F3863" w:rsidRDefault="0022578C" w:rsidP="006F3863">
      <w:pPr>
        <w:spacing w:line="240" w:lineRule="auto"/>
        <w:rPr>
          <w:rFonts w:ascii="Times" w:hAnsi="Times"/>
        </w:rPr>
      </w:pPr>
      <w:r w:rsidRPr="006F3863">
        <w:rPr>
          <w:rFonts w:ascii="Times" w:hAnsi="Times"/>
        </w:rPr>
        <w:t>&lt;1&gt;Abstract</w:t>
      </w:r>
      <w:r w:rsidR="006F3863">
        <w:rPr>
          <w:rFonts w:ascii="Times" w:hAnsi="Times"/>
        </w:rPr>
        <w:br/>
      </w:r>
      <w:r w:rsidR="00C725E4" w:rsidRPr="006F3863">
        <w:rPr>
          <w:rFonts w:ascii="Times" w:hAnsi="Times"/>
        </w:rPr>
        <w:t>Crucial to the restoration of whitebark pine</w:t>
      </w:r>
      <w:r w:rsidR="007550D6" w:rsidRPr="006F3863">
        <w:rPr>
          <w:rFonts w:ascii="Times" w:hAnsi="Times"/>
        </w:rPr>
        <w:t xml:space="preserve"> (</w:t>
      </w:r>
      <w:r w:rsidR="007550D6" w:rsidRPr="006F3863">
        <w:rPr>
          <w:rFonts w:ascii="Times" w:hAnsi="Times"/>
          <w:i/>
        </w:rPr>
        <w:t>Pinus albicaulis</w:t>
      </w:r>
      <w:r w:rsidR="007550D6" w:rsidRPr="006F3863">
        <w:rPr>
          <w:rFonts w:ascii="Times" w:hAnsi="Times"/>
        </w:rPr>
        <w:t>)</w:t>
      </w:r>
      <w:r w:rsidR="00C725E4" w:rsidRPr="006F3863">
        <w:rPr>
          <w:rFonts w:ascii="Times" w:hAnsi="Times"/>
        </w:rPr>
        <w:t xml:space="preserve"> ecosystems is the ability of forest managers to locate, propagate, and </w:t>
      </w:r>
      <w:r w:rsidR="00530DC8" w:rsidRPr="006F3863">
        <w:rPr>
          <w:rFonts w:ascii="Times" w:hAnsi="Times"/>
        </w:rPr>
        <w:t>reintroduce</w:t>
      </w:r>
      <w:r w:rsidR="00C725E4" w:rsidRPr="006F3863">
        <w:rPr>
          <w:rFonts w:ascii="Times" w:hAnsi="Times"/>
        </w:rPr>
        <w:t xml:space="preserve"> viable, di</w:t>
      </w:r>
      <w:r w:rsidR="00530DC8" w:rsidRPr="006F3863">
        <w:rPr>
          <w:rFonts w:ascii="Times" w:hAnsi="Times"/>
        </w:rPr>
        <w:t xml:space="preserve">sease-resistant populations to these jeopardized systems. Currently, one of the most limiting </w:t>
      </w:r>
      <w:r w:rsidR="00AB04D7" w:rsidRPr="006F3863">
        <w:rPr>
          <w:rFonts w:ascii="Times" w:hAnsi="Times"/>
        </w:rPr>
        <w:t>steps in this process is the slow, labor-intensive, and expensive process of producing whitebark seedlings at forest nurseries. From a nursery production standpoint, whitebark seed dormancy is complex and more problematic that other western conifers. Although seedling culture has evolved and become more streamline</w:t>
      </w:r>
      <w:r w:rsidR="007550D6" w:rsidRPr="006F3863">
        <w:rPr>
          <w:rFonts w:ascii="Times" w:hAnsi="Times"/>
        </w:rPr>
        <w:t>d</w:t>
      </w:r>
      <w:r w:rsidR="00AB04D7" w:rsidRPr="006F3863">
        <w:rPr>
          <w:rFonts w:ascii="Times" w:hAnsi="Times"/>
        </w:rPr>
        <w:t xml:space="preserve">, overcoming seed dormancy is still a major </w:t>
      </w:r>
      <w:r w:rsidR="0055274D">
        <w:rPr>
          <w:rFonts w:ascii="Times" w:hAnsi="Times"/>
        </w:rPr>
        <w:t>challenge</w:t>
      </w:r>
      <w:r w:rsidR="0055274D" w:rsidRPr="006F3863">
        <w:rPr>
          <w:rFonts w:ascii="Times" w:hAnsi="Times"/>
        </w:rPr>
        <w:t xml:space="preserve"> </w:t>
      </w:r>
      <w:r w:rsidR="00AB04D7" w:rsidRPr="006F3863">
        <w:rPr>
          <w:rFonts w:ascii="Times" w:hAnsi="Times"/>
        </w:rPr>
        <w:t>to efficient seed use and large-scale seedling production.</w:t>
      </w:r>
      <w:r w:rsidR="00832CEA" w:rsidRPr="006F3863">
        <w:rPr>
          <w:rFonts w:ascii="Times" w:hAnsi="Times"/>
        </w:rPr>
        <w:t xml:space="preserve"> Releasing seed dormancy through scari</w:t>
      </w:r>
      <w:r w:rsidR="007550D6" w:rsidRPr="006F3863">
        <w:rPr>
          <w:rFonts w:ascii="Times" w:hAnsi="Times"/>
        </w:rPr>
        <w:t>fication and stratification need</w:t>
      </w:r>
      <w:r w:rsidR="0055274D">
        <w:rPr>
          <w:rFonts w:ascii="Times" w:hAnsi="Times"/>
        </w:rPr>
        <w:t>s to</w:t>
      </w:r>
      <w:r w:rsidR="00832CEA" w:rsidRPr="006F3863">
        <w:rPr>
          <w:rFonts w:ascii="Times" w:hAnsi="Times"/>
        </w:rPr>
        <w:t xml:space="preserve"> result in adequate and consistent germination percentages, </w:t>
      </w:r>
      <w:r w:rsidR="0055274D">
        <w:rPr>
          <w:rFonts w:ascii="Times" w:hAnsi="Times"/>
        </w:rPr>
        <w:t>and</w:t>
      </w:r>
      <w:r w:rsidR="0055274D" w:rsidRPr="006F3863">
        <w:rPr>
          <w:rFonts w:ascii="Times" w:hAnsi="Times"/>
        </w:rPr>
        <w:t xml:space="preserve"> </w:t>
      </w:r>
      <w:r w:rsidR="00832CEA" w:rsidRPr="006F3863">
        <w:rPr>
          <w:rFonts w:ascii="Times" w:hAnsi="Times"/>
        </w:rPr>
        <w:t xml:space="preserve">also </w:t>
      </w:r>
      <w:r w:rsidR="0055274D">
        <w:rPr>
          <w:rFonts w:ascii="Times" w:hAnsi="Times"/>
        </w:rPr>
        <w:t xml:space="preserve">needs to </w:t>
      </w:r>
      <w:r w:rsidR="00832CEA" w:rsidRPr="006F3863">
        <w:rPr>
          <w:rFonts w:ascii="Times" w:hAnsi="Times"/>
        </w:rPr>
        <w:t xml:space="preserve">be practical and efficient at a restoration-production scale. This </w:t>
      </w:r>
      <w:r w:rsidR="0055274D">
        <w:rPr>
          <w:rFonts w:ascii="Times" w:hAnsi="Times"/>
        </w:rPr>
        <w:t xml:space="preserve">paper describes </w:t>
      </w:r>
      <w:r w:rsidR="0055274D" w:rsidRPr="006F3863">
        <w:rPr>
          <w:rFonts w:ascii="Times" w:hAnsi="Times"/>
        </w:rPr>
        <w:t>trial</w:t>
      </w:r>
      <w:r w:rsidR="0055274D">
        <w:rPr>
          <w:rFonts w:ascii="Times" w:hAnsi="Times"/>
        </w:rPr>
        <w:t xml:space="preserve">s </w:t>
      </w:r>
      <w:r w:rsidR="00832CEA" w:rsidRPr="006F3863">
        <w:rPr>
          <w:rFonts w:ascii="Times" w:hAnsi="Times"/>
        </w:rPr>
        <w:t>compar</w:t>
      </w:r>
      <w:r w:rsidR="0055274D">
        <w:rPr>
          <w:rFonts w:ascii="Times" w:hAnsi="Times"/>
        </w:rPr>
        <w:t>ing</w:t>
      </w:r>
      <w:r w:rsidR="00832CEA" w:rsidRPr="006F3863">
        <w:rPr>
          <w:rFonts w:ascii="Times" w:hAnsi="Times"/>
        </w:rPr>
        <w:t xml:space="preserve"> germination percentages of whitebark seedlots grown under operational conditio</w:t>
      </w:r>
      <w:r w:rsidR="001A7400" w:rsidRPr="006F3863">
        <w:rPr>
          <w:rFonts w:ascii="Times" w:hAnsi="Times"/>
        </w:rPr>
        <w:t>ns at the Forest Service Coeur D</w:t>
      </w:r>
      <w:r w:rsidR="00832CEA" w:rsidRPr="006F3863">
        <w:rPr>
          <w:rFonts w:ascii="Times" w:hAnsi="Times"/>
        </w:rPr>
        <w:t>’ Alene Nursery to determine the relative influence of seed source elevation and location, seedlot (collection) age, and 60 or 90-days of cold stratification.</w:t>
      </w:r>
      <w:r w:rsidR="006F3863">
        <w:rPr>
          <w:rFonts w:ascii="Times" w:hAnsi="Times"/>
        </w:rPr>
        <w:t xml:space="preserve"> T</w:t>
      </w:r>
      <w:r w:rsidR="006F3863" w:rsidRPr="006F3863">
        <w:rPr>
          <w:rFonts w:ascii="Times" w:hAnsi="Times"/>
        </w:rPr>
        <w:t>he results of these studies indicate that</w:t>
      </w:r>
      <w:r w:rsidR="006F3863">
        <w:rPr>
          <w:rFonts w:ascii="Times" w:hAnsi="Times"/>
        </w:rPr>
        <w:t>, g</w:t>
      </w:r>
      <w:r w:rsidR="006F3863" w:rsidRPr="006F3863">
        <w:rPr>
          <w:rFonts w:ascii="Times" w:hAnsi="Times"/>
        </w:rPr>
        <w:t>iven proper seed collection, ha</w:t>
      </w:r>
      <w:r w:rsidR="006F3863">
        <w:rPr>
          <w:rFonts w:ascii="Times" w:hAnsi="Times"/>
        </w:rPr>
        <w:t>ndling, cleaning, and storage</w:t>
      </w:r>
      <w:r w:rsidR="006F3863" w:rsidRPr="006F3863">
        <w:rPr>
          <w:rFonts w:ascii="Times" w:hAnsi="Times"/>
        </w:rPr>
        <w:t xml:space="preserve">: 1) 90-day cold stratification results in significantly increased germination over 60-day treatment; 2) within the first decade of storage, </w:t>
      </w:r>
      <w:proofErr w:type="spellStart"/>
      <w:r w:rsidR="006F3863" w:rsidRPr="006F3863">
        <w:rPr>
          <w:rFonts w:ascii="Times" w:hAnsi="Times"/>
        </w:rPr>
        <w:t>seedlot</w:t>
      </w:r>
      <w:proofErr w:type="spellEnd"/>
      <w:r w:rsidR="006F3863" w:rsidRPr="006F3863">
        <w:rPr>
          <w:rFonts w:ascii="Times" w:hAnsi="Times"/>
        </w:rPr>
        <w:t xml:space="preserve"> age may not play as crucial a role in reducing </w:t>
      </w:r>
      <w:proofErr w:type="spellStart"/>
      <w:r w:rsidR="006F3863" w:rsidRPr="006F3863">
        <w:rPr>
          <w:rFonts w:ascii="Times" w:hAnsi="Times"/>
        </w:rPr>
        <w:t>germinative</w:t>
      </w:r>
      <w:proofErr w:type="spellEnd"/>
      <w:r w:rsidR="006F3863" w:rsidRPr="006F3863">
        <w:rPr>
          <w:rFonts w:ascii="Times" w:hAnsi="Times"/>
        </w:rPr>
        <w:t xml:space="preserve"> capacity as was previously thought; and 3) </w:t>
      </w:r>
      <w:proofErr w:type="spellStart"/>
      <w:r w:rsidR="006F3863" w:rsidRPr="006F3863">
        <w:rPr>
          <w:rFonts w:ascii="Times" w:hAnsi="Times"/>
        </w:rPr>
        <w:t>seedlot</w:t>
      </w:r>
      <w:proofErr w:type="spellEnd"/>
      <w:r w:rsidR="006F3863" w:rsidRPr="006F3863">
        <w:rPr>
          <w:rFonts w:ascii="Times" w:hAnsi="Times"/>
        </w:rPr>
        <w:t xml:space="preserve"> source geography may not have a strong enough influence on </w:t>
      </w:r>
      <w:proofErr w:type="spellStart"/>
      <w:r w:rsidR="006F3863" w:rsidRPr="006F3863">
        <w:rPr>
          <w:rFonts w:ascii="Times" w:hAnsi="Times"/>
        </w:rPr>
        <w:t>germinative</w:t>
      </w:r>
      <w:proofErr w:type="spellEnd"/>
      <w:r w:rsidR="006F3863" w:rsidRPr="006F3863">
        <w:rPr>
          <w:rFonts w:ascii="Times" w:hAnsi="Times"/>
        </w:rPr>
        <w:t xml:space="preserve"> capacity to merit altering seed use calculations or culture regimes for greenhouse production.</w:t>
      </w:r>
    </w:p>
    <w:p w14:paraId="25749625" w14:textId="77777777" w:rsidR="00C725E4" w:rsidRPr="006F3863" w:rsidRDefault="00C725E4" w:rsidP="006F3863">
      <w:pPr>
        <w:spacing w:line="240" w:lineRule="auto"/>
        <w:rPr>
          <w:rFonts w:ascii="Times" w:hAnsi="Times"/>
        </w:rPr>
      </w:pPr>
    </w:p>
    <w:p w14:paraId="04B0D2A6" w14:textId="77777777" w:rsidR="005A30BE" w:rsidRDefault="005A30BE" w:rsidP="006F3863">
      <w:pPr>
        <w:spacing w:line="240" w:lineRule="auto"/>
        <w:rPr>
          <w:rFonts w:ascii="Times" w:hAnsi="Times"/>
        </w:rPr>
      </w:pPr>
      <w:r>
        <w:rPr>
          <w:rFonts w:ascii="Times" w:hAnsi="Times"/>
        </w:rPr>
        <w:t>&lt;1&gt; Key Words</w:t>
      </w:r>
      <w:bookmarkStart w:id="0" w:name="_GoBack"/>
      <w:bookmarkEnd w:id="0"/>
    </w:p>
    <w:p w14:paraId="0E8DEF8B" w14:textId="523C93F7" w:rsidR="009E3FCA" w:rsidRPr="006F3863" w:rsidRDefault="006F3863" w:rsidP="006F3863">
      <w:pPr>
        <w:spacing w:line="240" w:lineRule="auto"/>
        <w:rPr>
          <w:rFonts w:ascii="Times" w:hAnsi="Times"/>
        </w:rPr>
      </w:pPr>
      <w:r>
        <w:rPr>
          <w:rFonts w:ascii="Times" w:hAnsi="Times"/>
        </w:rPr>
        <w:t>&lt;1&gt;Introduction</w:t>
      </w:r>
      <w:r>
        <w:rPr>
          <w:rFonts w:ascii="Times" w:hAnsi="Times"/>
        </w:rPr>
        <w:br/>
      </w:r>
      <w:r w:rsidR="00DC2C6E" w:rsidRPr="006F3863">
        <w:rPr>
          <w:rFonts w:ascii="Times" w:hAnsi="Times"/>
        </w:rPr>
        <w:t>W</w:t>
      </w:r>
      <w:r w:rsidR="00DE49BC" w:rsidRPr="006F3863">
        <w:rPr>
          <w:rFonts w:ascii="Times" w:hAnsi="Times"/>
        </w:rPr>
        <w:t>hitebark pine</w:t>
      </w:r>
      <w:r w:rsidR="00DC2C6E" w:rsidRPr="006F3863">
        <w:rPr>
          <w:rFonts w:ascii="Times" w:hAnsi="Times"/>
        </w:rPr>
        <w:t>,</w:t>
      </w:r>
      <w:r w:rsidR="00DE49BC" w:rsidRPr="006F3863">
        <w:rPr>
          <w:rFonts w:ascii="Times" w:hAnsi="Times"/>
        </w:rPr>
        <w:t xml:space="preserve"> </w:t>
      </w:r>
      <w:r w:rsidR="00DC2C6E" w:rsidRPr="006F3863">
        <w:rPr>
          <w:rFonts w:ascii="Times" w:hAnsi="Times"/>
        </w:rPr>
        <w:t xml:space="preserve">the sole North American member of the </w:t>
      </w:r>
      <w:proofErr w:type="spellStart"/>
      <w:r w:rsidR="00DC2C6E" w:rsidRPr="006F3863">
        <w:rPr>
          <w:rFonts w:ascii="Times" w:hAnsi="Times"/>
        </w:rPr>
        <w:t>Cembrae</w:t>
      </w:r>
      <w:proofErr w:type="spellEnd"/>
      <w:r w:rsidR="00DC2C6E" w:rsidRPr="006F3863">
        <w:rPr>
          <w:rFonts w:ascii="Times" w:hAnsi="Times"/>
        </w:rPr>
        <w:t xml:space="preserve"> pine sub</w:t>
      </w:r>
      <w:r w:rsidR="003D29A0" w:rsidRPr="006F3863">
        <w:rPr>
          <w:rFonts w:ascii="Times" w:hAnsi="Times"/>
        </w:rPr>
        <w:t>section</w:t>
      </w:r>
      <w:r w:rsidR="00DC2C6E" w:rsidRPr="006F3863">
        <w:rPr>
          <w:rFonts w:ascii="Times" w:hAnsi="Times"/>
        </w:rPr>
        <w:t xml:space="preserve">, </w:t>
      </w:r>
      <w:r w:rsidR="00DE49BC" w:rsidRPr="006F3863">
        <w:rPr>
          <w:rFonts w:ascii="Times" w:hAnsi="Times"/>
        </w:rPr>
        <w:t xml:space="preserve">faces restoration challenges unique </w:t>
      </w:r>
      <w:r w:rsidR="00DC2C6E" w:rsidRPr="006F3863">
        <w:rPr>
          <w:rFonts w:ascii="Times" w:hAnsi="Times"/>
        </w:rPr>
        <w:t>among the western conifers. Chief among these challenges is matching the pace</w:t>
      </w:r>
      <w:r w:rsidR="00286127" w:rsidRPr="006F3863">
        <w:rPr>
          <w:rFonts w:ascii="Times" w:hAnsi="Times"/>
        </w:rPr>
        <w:t xml:space="preserve"> of recruitment with an unnaturally accelerated </w:t>
      </w:r>
      <w:r w:rsidR="00DC2C6E" w:rsidRPr="006F3863">
        <w:rPr>
          <w:rFonts w:ascii="Times" w:hAnsi="Times"/>
        </w:rPr>
        <w:t>mortality</w:t>
      </w:r>
      <w:r w:rsidR="00286127" w:rsidRPr="006F3863">
        <w:rPr>
          <w:rFonts w:ascii="Times" w:hAnsi="Times"/>
        </w:rPr>
        <w:t xml:space="preserve"> rate</w:t>
      </w:r>
      <w:r w:rsidR="00DC2C6E" w:rsidRPr="006F3863">
        <w:rPr>
          <w:rFonts w:ascii="Times" w:hAnsi="Times"/>
        </w:rPr>
        <w:t>. The species faces the triple-prong</w:t>
      </w:r>
      <w:r w:rsidR="00C725E4" w:rsidRPr="006F3863">
        <w:rPr>
          <w:rFonts w:ascii="Times" w:hAnsi="Times"/>
        </w:rPr>
        <w:t>ed</w:t>
      </w:r>
      <w:r w:rsidR="00DC2C6E" w:rsidRPr="006F3863">
        <w:rPr>
          <w:rFonts w:ascii="Times" w:hAnsi="Times"/>
        </w:rPr>
        <w:t xml:space="preserve"> threat of introduced disease (</w:t>
      </w:r>
      <w:proofErr w:type="spellStart"/>
      <w:r w:rsidR="00DC2C6E" w:rsidRPr="006F3863">
        <w:rPr>
          <w:rFonts w:ascii="Times" w:hAnsi="Times"/>
          <w:i/>
        </w:rPr>
        <w:t>Cronartium</w:t>
      </w:r>
      <w:proofErr w:type="spellEnd"/>
      <w:r w:rsidR="00DC2C6E" w:rsidRPr="006F3863">
        <w:rPr>
          <w:rFonts w:ascii="Times" w:hAnsi="Times"/>
          <w:i/>
        </w:rPr>
        <w:t xml:space="preserve"> </w:t>
      </w:r>
      <w:proofErr w:type="spellStart"/>
      <w:r w:rsidR="00DC2C6E" w:rsidRPr="006F3863">
        <w:rPr>
          <w:rFonts w:ascii="Times" w:hAnsi="Times"/>
          <w:i/>
        </w:rPr>
        <w:t>ribicola</w:t>
      </w:r>
      <w:proofErr w:type="spellEnd"/>
      <w:r w:rsidR="00DC2C6E" w:rsidRPr="006F3863">
        <w:rPr>
          <w:rFonts w:ascii="Times" w:hAnsi="Times"/>
        </w:rPr>
        <w:t>), native pine beetle (</w:t>
      </w:r>
      <w:proofErr w:type="spellStart"/>
      <w:r w:rsidR="00DC2C6E" w:rsidRPr="006F3863">
        <w:rPr>
          <w:rFonts w:ascii="Times" w:hAnsi="Times"/>
          <w:i/>
        </w:rPr>
        <w:t>Dendroctonus</w:t>
      </w:r>
      <w:proofErr w:type="spellEnd"/>
      <w:r w:rsidR="00DC2C6E" w:rsidRPr="006F3863">
        <w:rPr>
          <w:rFonts w:ascii="Times" w:hAnsi="Times"/>
          <w:i/>
        </w:rPr>
        <w:t xml:space="preserve"> </w:t>
      </w:r>
      <w:proofErr w:type="spellStart"/>
      <w:r w:rsidR="00DC2C6E" w:rsidRPr="006F3863">
        <w:rPr>
          <w:rFonts w:ascii="Times" w:hAnsi="Times"/>
          <w:i/>
        </w:rPr>
        <w:t>ponderosae</w:t>
      </w:r>
      <w:proofErr w:type="spellEnd"/>
      <w:r w:rsidR="00DC2C6E" w:rsidRPr="006F3863">
        <w:rPr>
          <w:rFonts w:ascii="Times" w:hAnsi="Times"/>
        </w:rPr>
        <w:t xml:space="preserve">) epidemics, and historically uncharacteristic fire regimes (Mahalovich </w:t>
      </w:r>
      <w:r w:rsidR="0055274D">
        <w:rPr>
          <w:rFonts w:ascii="Times" w:hAnsi="Times"/>
        </w:rPr>
        <w:t>and others,</w:t>
      </w:r>
      <w:r w:rsidR="00DC2C6E" w:rsidRPr="006F3863">
        <w:rPr>
          <w:rFonts w:ascii="Times" w:hAnsi="Times"/>
        </w:rPr>
        <w:t xml:space="preserve"> 2006). </w:t>
      </w:r>
      <w:r w:rsidR="00F4535F" w:rsidRPr="006F3863">
        <w:rPr>
          <w:rFonts w:ascii="Times" w:hAnsi="Times"/>
        </w:rPr>
        <w:t xml:space="preserve">In the </w:t>
      </w:r>
      <w:r w:rsidR="00FD626D" w:rsidRPr="006F3863">
        <w:rPr>
          <w:rFonts w:ascii="Times" w:hAnsi="Times"/>
        </w:rPr>
        <w:t xml:space="preserve">past several </w:t>
      </w:r>
      <w:r w:rsidR="00F4535F" w:rsidRPr="006F3863">
        <w:rPr>
          <w:rFonts w:ascii="Times" w:hAnsi="Times"/>
        </w:rPr>
        <w:t>decade</w:t>
      </w:r>
      <w:r w:rsidR="00FD626D" w:rsidRPr="006F3863">
        <w:rPr>
          <w:rFonts w:ascii="Times" w:hAnsi="Times"/>
        </w:rPr>
        <w:t>s</w:t>
      </w:r>
      <w:r w:rsidR="00F4535F" w:rsidRPr="006F3863">
        <w:rPr>
          <w:rFonts w:ascii="Times" w:hAnsi="Times"/>
        </w:rPr>
        <w:t>, much effort has been dedicated to identifying and securing seed from apparently disease resistant forest trees for the purposes of understand</w:t>
      </w:r>
      <w:r w:rsidR="00C725E4" w:rsidRPr="006F3863">
        <w:rPr>
          <w:rFonts w:ascii="Times" w:hAnsi="Times"/>
        </w:rPr>
        <w:t>ing disease resistance genetics</w:t>
      </w:r>
      <w:r w:rsidR="00F4535F" w:rsidRPr="006F3863">
        <w:rPr>
          <w:rFonts w:ascii="Times" w:hAnsi="Times"/>
        </w:rPr>
        <w:t xml:space="preserve"> and establishing seed banks for future seedling propagation and restoration efforts.</w:t>
      </w:r>
    </w:p>
    <w:p w14:paraId="762B54AD" w14:textId="26DCF8C8" w:rsidR="009E3FCA" w:rsidRPr="006F3863" w:rsidRDefault="00FD626D" w:rsidP="006F3863">
      <w:pPr>
        <w:spacing w:line="240" w:lineRule="auto"/>
        <w:rPr>
          <w:rFonts w:ascii="Times" w:hAnsi="Times"/>
        </w:rPr>
      </w:pPr>
      <w:r w:rsidRPr="006F3863">
        <w:rPr>
          <w:rFonts w:ascii="Times" w:hAnsi="Times"/>
        </w:rPr>
        <w:t xml:space="preserve">The success of such efforts hinges on the ability of tree nurseries to reliably germinate seed from various collections. </w:t>
      </w:r>
      <w:r w:rsidR="00452305" w:rsidRPr="006F3863">
        <w:rPr>
          <w:rFonts w:ascii="Times" w:hAnsi="Times"/>
        </w:rPr>
        <w:t>The germination strategy of</w:t>
      </w:r>
      <w:r w:rsidR="00DE49BC" w:rsidRPr="006F3863">
        <w:rPr>
          <w:rFonts w:ascii="Times" w:hAnsi="Times"/>
        </w:rPr>
        <w:t xml:space="preserve"> whitebark</w:t>
      </w:r>
      <w:r w:rsidR="008939EC" w:rsidRPr="006F3863">
        <w:rPr>
          <w:rFonts w:ascii="Times" w:hAnsi="Times"/>
        </w:rPr>
        <w:t xml:space="preserve"> differs considerably </w:t>
      </w:r>
      <w:r w:rsidR="009E3FCA" w:rsidRPr="006F3863">
        <w:rPr>
          <w:rFonts w:ascii="Times" w:hAnsi="Times"/>
        </w:rPr>
        <w:t>from other western pine species</w:t>
      </w:r>
      <w:r w:rsidR="00BF2DB3" w:rsidRPr="006F3863">
        <w:rPr>
          <w:rFonts w:ascii="Times" w:hAnsi="Times"/>
        </w:rPr>
        <w:t xml:space="preserve">. </w:t>
      </w:r>
      <w:r w:rsidR="008939EC" w:rsidRPr="006F3863">
        <w:rPr>
          <w:rFonts w:ascii="Times" w:hAnsi="Times"/>
        </w:rPr>
        <w:lastRenderedPageBreak/>
        <w:t>Most notably,</w:t>
      </w:r>
      <w:r w:rsidR="00BF2DB3" w:rsidRPr="006F3863">
        <w:rPr>
          <w:rFonts w:ascii="Times" w:hAnsi="Times"/>
        </w:rPr>
        <w:t xml:space="preserve"> in addition to </w:t>
      </w:r>
      <w:r w:rsidR="00B05746" w:rsidRPr="006F3863">
        <w:rPr>
          <w:rFonts w:ascii="Times" w:hAnsi="Times"/>
        </w:rPr>
        <w:t>a thick, hard seedcoat</w:t>
      </w:r>
      <w:r w:rsidR="00BF2DB3" w:rsidRPr="006F3863">
        <w:rPr>
          <w:rFonts w:ascii="Times" w:hAnsi="Times"/>
        </w:rPr>
        <w:t xml:space="preserve">, which hampers imbibition, whitebark seeds have complex physiological dormancy release mechanisms (Riley </w:t>
      </w:r>
      <w:r w:rsidR="0055274D">
        <w:rPr>
          <w:rFonts w:ascii="Times" w:hAnsi="Times"/>
        </w:rPr>
        <w:t>and others,</w:t>
      </w:r>
      <w:r w:rsidR="00BF2DB3" w:rsidRPr="006F3863">
        <w:rPr>
          <w:rFonts w:ascii="Times" w:hAnsi="Times"/>
        </w:rPr>
        <w:t xml:space="preserve"> 2007</w:t>
      </w:r>
      <w:r w:rsidR="00DC2C6E" w:rsidRPr="006F3863">
        <w:rPr>
          <w:rFonts w:ascii="Times" w:hAnsi="Times"/>
        </w:rPr>
        <w:t>; Tillman-</w:t>
      </w:r>
      <w:proofErr w:type="spellStart"/>
      <w:r w:rsidR="00DC2C6E" w:rsidRPr="006F3863">
        <w:rPr>
          <w:rFonts w:ascii="Times" w:hAnsi="Times"/>
        </w:rPr>
        <w:t>Sutela</w:t>
      </w:r>
      <w:proofErr w:type="spellEnd"/>
      <w:r w:rsidR="00DC2C6E" w:rsidRPr="006F3863">
        <w:rPr>
          <w:rFonts w:ascii="Times" w:hAnsi="Times"/>
        </w:rPr>
        <w:t xml:space="preserve"> </w:t>
      </w:r>
      <w:r w:rsidR="0055274D">
        <w:rPr>
          <w:rFonts w:ascii="Times" w:hAnsi="Times"/>
        </w:rPr>
        <w:t>and others,</w:t>
      </w:r>
      <w:r w:rsidR="00DC2C6E" w:rsidRPr="006F3863">
        <w:rPr>
          <w:rFonts w:ascii="Times" w:hAnsi="Times"/>
        </w:rPr>
        <w:t xml:space="preserve"> 2007</w:t>
      </w:r>
      <w:r w:rsidR="00BF2DB3" w:rsidRPr="006F3863">
        <w:rPr>
          <w:rFonts w:ascii="Times" w:hAnsi="Times"/>
        </w:rPr>
        <w:t>).</w:t>
      </w:r>
      <w:r w:rsidR="0055274D">
        <w:rPr>
          <w:rFonts w:ascii="Times" w:hAnsi="Times"/>
        </w:rPr>
        <w:t xml:space="preserve"> </w:t>
      </w:r>
      <w:r w:rsidR="00544429" w:rsidRPr="006F3863">
        <w:rPr>
          <w:rFonts w:ascii="Times" w:hAnsi="Times"/>
        </w:rPr>
        <w:t>Because</w:t>
      </w:r>
      <w:r w:rsidR="00BF2DB3" w:rsidRPr="006F3863">
        <w:rPr>
          <w:rFonts w:ascii="Times" w:hAnsi="Times"/>
        </w:rPr>
        <w:t xml:space="preserve"> whitebark c</w:t>
      </w:r>
      <w:r w:rsidR="00544429" w:rsidRPr="006F3863">
        <w:rPr>
          <w:rFonts w:ascii="Times" w:hAnsi="Times"/>
        </w:rPr>
        <w:t>one crops vary widely from year to year, and predation claims many of the nutrient-rich seeds, t</w:t>
      </w:r>
      <w:r w:rsidR="00BF2DB3" w:rsidRPr="006F3863">
        <w:rPr>
          <w:rFonts w:ascii="Times" w:hAnsi="Times"/>
        </w:rPr>
        <w:t xml:space="preserve">hese mechanisms are presumably an adaptive strategy to </w:t>
      </w:r>
      <w:r w:rsidR="00544429" w:rsidRPr="006F3863">
        <w:rPr>
          <w:rFonts w:ascii="Times" w:hAnsi="Times"/>
        </w:rPr>
        <w:t xml:space="preserve">delay the germination of dispersed seeds over the course of several years (Tomback </w:t>
      </w:r>
      <w:r w:rsidR="0055274D">
        <w:rPr>
          <w:rFonts w:ascii="Times" w:hAnsi="Times"/>
        </w:rPr>
        <w:t>and others,</w:t>
      </w:r>
      <w:r w:rsidR="00544429" w:rsidRPr="006F3863">
        <w:rPr>
          <w:rFonts w:ascii="Times" w:hAnsi="Times"/>
        </w:rPr>
        <w:t xml:space="preserve"> 2001). This seed banking strat</w:t>
      </w:r>
      <w:r w:rsidR="009E3FCA" w:rsidRPr="006F3863">
        <w:rPr>
          <w:rFonts w:ascii="Times" w:hAnsi="Times"/>
        </w:rPr>
        <w:t xml:space="preserve">egy may help offset </w:t>
      </w:r>
      <w:r w:rsidR="00544429" w:rsidRPr="006F3863">
        <w:rPr>
          <w:rFonts w:ascii="Times" w:hAnsi="Times"/>
        </w:rPr>
        <w:t xml:space="preserve">periodic </w:t>
      </w:r>
      <w:r w:rsidR="009E3FCA" w:rsidRPr="006F3863">
        <w:rPr>
          <w:rFonts w:ascii="Times" w:hAnsi="Times"/>
        </w:rPr>
        <w:t>cone crop and seedling</w:t>
      </w:r>
      <w:r w:rsidR="00544429" w:rsidRPr="006F3863">
        <w:rPr>
          <w:rFonts w:ascii="Times" w:hAnsi="Times"/>
        </w:rPr>
        <w:t xml:space="preserve"> </w:t>
      </w:r>
      <w:r w:rsidR="00BA7760" w:rsidRPr="006F3863">
        <w:rPr>
          <w:rFonts w:ascii="Times" w:hAnsi="Times"/>
        </w:rPr>
        <w:t xml:space="preserve">establishment </w:t>
      </w:r>
      <w:r w:rsidR="00544429" w:rsidRPr="006F3863">
        <w:rPr>
          <w:rFonts w:ascii="Times" w:hAnsi="Times"/>
        </w:rPr>
        <w:t>failures</w:t>
      </w:r>
      <w:r w:rsidR="009E3FCA" w:rsidRPr="006F3863">
        <w:rPr>
          <w:rFonts w:ascii="Times" w:hAnsi="Times"/>
        </w:rPr>
        <w:t>, and balance recruitment through time.</w:t>
      </w:r>
      <w:r w:rsidRPr="006F3863">
        <w:rPr>
          <w:rFonts w:ascii="Times" w:hAnsi="Times"/>
        </w:rPr>
        <w:t xml:space="preserve"> </w:t>
      </w:r>
      <w:r w:rsidR="0055274D">
        <w:rPr>
          <w:rFonts w:ascii="Times" w:hAnsi="Times"/>
        </w:rPr>
        <w:t>At the same time</w:t>
      </w:r>
      <w:r w:rsidR="009E3FCA" w:rsidRPr="006F3863">
        <w:rPr>
          <w:rFonts w:ascii="Times" w:hAnsi="Times"/>
        </w:rPr>
        <w:t xml:space="preserve">, these seed dormancy </w:t>
      </w:r>
      <w:r w:rsidRPr="006F3863">
        <w:rPr>
          <w:rFonts w:ascii="Times" w:hAnsi="Times"/>
        </w:rPr>
        <w:t xml:space="preserve">and germination </w:t>
      </w:r>
      <w:r w:rsidR="009E3FCA" w:rsidRPr="006F3863">
        <w:rPr>
          <w:rFonts w:ascii="Times" w:hAnsi="Times"/>
        </w:rPr>
        <w:t>characteristics make uniform artificial germination of whitebark seeds very difficult to achieve.</w:t>
      </w:r>
    </w:p>
    <w:p w14:paraId="775C5EFD" w14:textId="209339F2" w:rsidR="008535A1" w:rsidRPr="006F3863" w:rsidRDefault="00FD626D" w:rsidP="006F3863">
      <w:pPr>
        <w:spacing w:line="240" w:lineRule="auto"/>
        <w:rPr>
          <w:rFonts w:ascii="Times" w:hAnsi="Times"/>
        </w:rPr>
      </w:pPr>
      <w:r w:rsidRPr="006F3863">
        <w:rPr>
          <w:rFonts w:ascii="Times" w:hAnsi="Times"/>
        </w:rPr>
        <w:t>Past practices for producing whitebark seedlings in nurseries evolved out of germination and growth strategies developed for western white pine (</w:t>
      </w:r>
      <w:r w:rsidRPr="006F3863">
        <w:rPr>
          <w:rFonts w:ascii="Times" w:hAnsi="Times"/>
          <w:i/>
        </w:rPr>
        <w:t xml:space="preserve">Pinus </w:t>
      </w:r>
      <w:proofErr w:type="spellStart"/>
      <w:r w:rsidRPr="006F3863">
        <w:rPr>
          <w:rFonts w:ascii="Times" w:hAnsi="Times"/>
          <w:i/>
        </w:rPr>
        <w:t>monticola</w:t>
      </w:r>
      <w:proofErr w:type="spellEnd"/>
      <w:r w:rsidRPr="006F3863">
        <w:rPr>
          <w:rFonts w:ascii="Times" w:hAnsi="Times"/>
        </w:rPr>
        <w:t>) (</w:t>
      </w:r>
      <w:r w:rsidR="003516C2" w:rsidRPr="006F3863">
        <w:rPr>
          <w:rFonts w:ascii="Times" w:hAnsi="Times"/>
        </w:rPr>
        <w:t xml:space="preserve">Burr </w:t>
      </w:r>
      <w:r w:rsidR="0055274D">
        <w:rPr>
          <w:rFonts w:ascii="Times" w:hAnsi="Times"/>
        </w:rPr>
        <w:t>and others,</w:t>
      </w:r>
      <w:r w:rsidR="003516C2" w:rsidRPr="006F3863">
        <w:rPr>
          <w:rFonts w:ascii="Times" w:hAnsi="Times"/>
        </w:rPr>
        <w:t xml:space="preserve"> 2001). However, </w:t>
      </w:r>
      <w:r w:rsidR="001E0993" w:rsidRPr="006F3863">
        <w:rPr>
          <w:rFonts w:ascii="Times" w:hAnsi="Times"/>
        </w:rPr>
        <w:t xml:space="preserve">stratification </w:t>
      </w:r>
      <w:r w:rsidR="003516C2" w:rsidRPr="006F3863">
        <w:rPr>
          <w:rFonts w:ascii="Times" w:hAnsi="Times"/>
        </w:rPr>
        <w:t xml:space="preserve">protocols </w:t>
      </w:r>
      <w:r w:rsidR="001E0993" w:rsidRPr="006F3863">
        <w:rPr>
          <w:rFonts w:ascii="Times" w:hAnsi="Times"/>
        </w:rPr>
        <w:t xml:space="preserve">for this species </w:t>
      </w:r>
      <w:r w:rsidR="003516C2" w:rsidRPr="006F3863">
        <w:rPr>
          <w:rFonts w:ascii="Times" w:hAnsi="Times"/>
        </w:rPr>
        <w:t>proved to be inadequate for whitebark pine, with its additionally complex dormancy mechanisms. Because of the difficulty of protecting, collecting, and cleaning whitebark seed, investment in collections is significant compared to other western conifers (</w:t>
      </w:r>
      <w:r w:rsidR="003460D2" w:rsidRPr="006F3863">
        <w:rPr>
          <w:rFonts w:ascii="Times" w:hAnsi="Times"/>
        </w:rPr>
        <w:t xml:space="preserve">Keane, </w:t>
      </w:r>
      <w:r w:rsidR="0055274D">
        <w:rPr>
          <w:rFonts w:ascii="Times" w:hAnsi="Times"/>
        </w:rPr>
        <w:t>and others,</w:t>
      </w:r>
      <w:r w:rsidR="003460D2" w:rsidRPr="006F3863">
        <w:rPr>
          <w:rFonts w:ascii="Times" w:hAnsi="Times"/>
        </w:rPr>
        <w:t xml:space="preserve"> 2012)</w:t>
      </w:r>
      <w:r w:rsidR="001E0993" w:rsidRPr="006F3863">
        <w:rPr>
          <w:rFonts w:ascii="Times" w:hAnsi="Times"/>
        </w:rPr>
        <w:t xml:space="preserve">. Due to this value, and the </w:t>
      </w:r>
      <w:r w:rsidR="00BA7760" w:rsidRPr="006F3863">
        <w:rPr>
          <w:rFonts w:ascii="Times" w:hAnsi="Times"/>
        </w:rPr>
        <w:t xml:space="preserve">historically </w:t>
      </w:r>
      <w:r w:rsidR="001E0993" w:rsidRPr="006F3863">
        <w:rPr>
          <w:rFonts w:ascii="Times" w:hAnsi="Times"/>
        </w:rPr>
        <w:t xml:space="preserve">limited volume of seed </w:t>
      </w:r>
      <w:r w:rsidR="00BA7760" w:rsidRPr="006F3863">
        <w:rPr>
          <w:rFonts w:ascii="Times" w:hAnsi="Times"/>
        </w:rPr>
        <w:t>being processed and seedlings being grown,</w:t>
      </w:r>
      <w:r w:rsidR="001E0993" w:rsidRPr="006F3863">
        <w:rPr>
          <w:rFonts w:ascii="Times" w:hAnsi="Times"/>
        </w:rPr>
        <w:t xml:space="preserve"> very labor-intensive scarification and growing techniques have been used in an attempt to maximize the productivity of a given seed collection. These processes have included</w:t>
      </w:r>
      <w:r w:rsidR="00812469" w:rsidRPr="006F3863">
        <w:rPr>
          <w:rFonts w:ascii="Times" w:hAnsi="Times"/>
        </w:rPr>
        <w:t xml:space="preserve"> </w:t>
      </w:r>
      <w:r w:rsidR="003460D2" w:rsidRPr="006F3863">
        <w:rPr>
          <w:rFonts w:ascii="Times" w:hAnsi="Times"/>
        </w:rPr>
        <w:t xml:space="preserve">various chemical scarification regimes, </w:t>
      </w:r>
      <w:r w:rsidR="00812469" w:rsidRPr="006F3863">
        <w:rPr>
          <w:rFonts w:ascii="Times" w:hAnsi="Times"/>
        </w:rPr>
        <w:t>hand-</w:t>
      </w:r>
      <w:r w:rsidR="001E0993" w:rsidRPr="006F3863">
        <w:rPr>
          <w:rFonts w:ascii="Times" w:hAnsi="Times"/>
        </w:rPr>
        <w:t xml:space="preserve"> or </w:t>
      </w:r>
      <w:r w:rsidR="00812469" w:rsidRPr="006F3863">
        <w:rPr>
          <w:rFonts w:ascii="Times" w:hAnsi="Times"/>
        </w:rPr>
        <w:t>machine-knicking individual seeds to disrupt the seed-coat integrity, germinating seeds in artificial germinators, hand-transplanting individual germina</w:t>
      </w:r>
      <w:r w:rsidR="0066735C" w:rsidRPr="006F3863">
        <w:rPr>
          <w:rFonts w:ascii="Times" w:hAnsi="Times"/>
        </w:rPr>
        <w:t>n</w:t>
      </w:r>
      <w:r w:rsidR="00812469" w:rsidRPr="006F3863">
        <w:rPr>
          <w:rFonts w:ascii="Times" w:hAnsi="Times"/>
        </w:rPr>
        <w:t>ts</w:t>
      </w:r>
      <w:r w:rsidR="001E0993" w:rsidRPr="006F3863">
        <w:rPr>
          <w:rFonts w:ascii="Times" w:hAnsi="Times"/>
        </w:rPr>
        <w:t xml:space="preserve"> when radicals appear</w:t>
      </w:r>
      <w:r w:rsidR="003460D2" w:rsidRPr="006F3863">
        <w:rPr>
          <w:rFonts w:ascii="Times" w:hAnsi="Times"/>
        </w:rPr>
        <w:t>ed</w:t>
      </w:r>
      <w:r w:rsidR="001E0993" w:rsidRPr="006F3863">
        <w:rPr>
          <w:rFonts w:ascii="Times" w:hAnsi="Times"/>
        </w:rPr>
        <w:t xml:space="preserve">, </w:t>
      </w:r>
      <w:r w:rsidR="00812469" w:rsidRPr="006F3863">
        <w:rPr>
          <w:rFonts w:ascii="Times" w:hAnsi="Times"/>
        </w:rPr>
        <w:t>and re-stratifying un-germinated seeds to produce additional germina</w:t>
      </w:r>
      <w:r w:rsidR="0066735C" w:rsidRPr="006F3863">
        <w:rPr>
          <w:rFonts w:ascii="Times" w:hAnsi="Times"/>
        </w:rPr>
        <w:t>nt</w:t>
      </w:r>
      <w:r w:rsidR="00812469" w:rsidRPr="006F3863">
        <w:rPr>
          <w:rFonts w:ascii="Times" w:hAnsi="Times"/>
        </w:rPr>
        <w:t xml:space="preserve"> flushes (</w:t>
      </w:r>
      <w:proofErr w:type="spellStart"/>
      <w:r w:rsidR="00812469" w:rsidRPr="006F3863">
        <w:rPr>
          <w:rFonts w:ascii="Times" w:hAnsi="Times"/>
        </w:rPr>
        <w:t>Gasvoda</w:t>
      </w:r>
      <w:proofErr w:type="spellEnd"/>
      <w:r w:rsidR="00812469" w:rsidRPr="006F3863">
        <w:rPr>
          <w:rFonts w:ascii="Times" w:hAnsi="Times"/>
        </w:rPr>
        <w:t xml:space="preserve"> </w:t>
      </w:r>
      <w:r w:rsidR="0055274D">
        <w:rPr>
          <w:rFonts w:ascii="Times" w:hAnsi="Times"/>
        </w:rPr>
        <w:t>and others,</w:t>
      </w:r>
      <w:r w:rsidR="00812469" w:rsidRPr="006F3863">
        <w:rPr>
          <w:rFonts w:ascii="Times" w:hAnsi="Times"/>
        </w:rPr>
        <w:t xml:space="preserve"> 2002; </w:t>
      </w:r>
      <w:proofErr w:type="spellStart"/>
      <w:r w:rsidR="00812469" w:rsidRPr="006F3863">
        <w:rPr>
          <w:rFonts w:ascii="Times" w:hAnsi="Times"/>
        </w:rPr>
        <w:t>Pitel</w:t>
      </w:r>
      <w:proofErr w:type="spellEnd"/>
      <w:r w:rsidR="00812469" w:rsidRPr="006F3863">
        <w:rPr>
          <w:rFonts w:ascii="Times" w:hAnsi="Times"/>
        </w:rPr>
        <w:t xml:space="preserve"> and Wang, 1990; Wick, </w:t>
      </w:r>
      <w:r w:rsidR="0055274D">
        <w:rPr>
          <w:rFonts w:ascii="Times" w:hAnsi="Times"/>
        </w:rPr>
        <w:t>and others,</w:t>
      </w:r>
      <w:r w:rsidR="00812469" w:rsidRPr="006F3863">
        <w:rPr>
          <w:rFonts w:ascii="Times" w:hAnsi="Times"/>
        </w:rPr>
        <w:t xml:space="preserve"> 2008).</w:t>
      </w:r>
      <w:r w:rsidR="008535A1" w:rsidRPr="006F3863">
        <w:rPr>
          <w:rFonts w:ascii="Times" w:hAnsi="Times"/>
        </w:rPr>
        <w:t xml:space="preserve"> </w:t>
      </w:r>
    </w:p>
    <w:p w14:paraId="2DB510B7" w14:textId="0482A0CC" w:rsidR="00072A39" w:rsidRPr="006F3863" w:rsidRDefault="008535A1" w:rsidP="006F3863">
      <w:pPr>
        <w:spacing w:line="240" w:lineRule="auto"/>
        <w:rPr>
          <w:rFonts w:ascii="Times" w:hAnsi="Times"/>
        </w:rPr>
      </w:pPr>
      <w:r w:rsidRPr="006F3863">
        <w:rPr>
          <w:rFonts w:ascii="Times" w:hAnsi="Times"/>
        </w:rPr>
        <w:t>I</w:t>
      </w:r>
      <w:r w:rsidR="003460D2" w:rsidRPr="006F3863">
        <w:rPr>
          <w:rFonts w:ascii="Times" w:hAnsi="Times"/>
        </w:rPr>
        <w:t xml:space="preserve">t is possible, through a combination of stratification, scarification, and highly controlled environmental parameters, to achieve nearly 100% germination of </w:t>
      </w:r>
      <w:r w:rsidRPr="006F3863">
        <w:rPr>
          <w:rFonts w:ascii="Times" w:hAnsi="Times"/>
        </w:rPr>
        <w:t xml:space="preserve">mature, </w:t>
      </w:r>
      <w:r w:rsidR="003460D2" w:rsidRPr="006F3863">
        <w:rPr>
          <w:rFonts w:ascii="Times" w:hAnsi="Times"/>
        </w:rPr>
        <w:t>viable seeds (Riley</w:t>
      </w:r>
      <w:r w:rsidRPr="006F3863">
        <w:rPr>
          <w:rFonts w:ascii="Times" w:hAnsi="Times"/>
        </w:rPr>
        <w:t xml:space="preserve"> </w:t>
      </w:r>
      <w:r w:rsidR="0055274D">
        <w:rPr>
          <w:rFonts w:ascii="Times" w:hAnsi="Times"/>
        </w:rPr>
        <w:t>and others,</w:t>
      </w:r>
      <w:r w:rsidRPr="006F3863">
        <w:rPr>
          <w:rFonts w:ascii="Times" w:hAnsi="Times"/>
        </w:rPr>
        <w:t xml:space="preserve"> 2007; </w:t>
      </w:r>
      <w:proofErr w:type="spellStart"/>
      <w:r w:rsidRPr="006F3863">
        <w:rPr>
          <w:rFonts w:ascii="Times" w:hAnsi="Times"/>
        </w:rPr>
        <w:t>McCaughney</w:t>
      </w:r>
      <w:proofErr w:type="spellEnd"/>
      <w:r w:rsidRPr="006F3863">
        <w:rPr>
          <w:rFonts w:ascii="Times" w:hAnsi="Times"/>
        </w:rPr>
        <w:t>, 1992). However,</w:t>
      </w:r>
      <w:r w:rsidR="003460D2" w:rsidRPr="006F3863">
        <w:rPr>
          <w:rFonts w:ascii="Times" w:hAnsi="Times"/>
        </w:rPr>
        <w:t xml:space="preserve"> </w:t>
      </w:r>
      <w:r w:rsidRPr="006F3863">
        <w:rPr>
          <w:rFonts w:ascii="Times" w:hAnsi="Times"/>
        </w:rPr>
        <w:t>replicating such conditions on the scale needed for mass seedling production for the purpose of restoration plantings has continued to be very problematic for nurseries</w:t>
      </w:r>
      <w:r w:rsidR="00716F1E" w:rsidRPr="006F3863">
        <w:rPr>
          <w:rFonts w:ascii="Times" w:hAnsi="Times"/>
        </w:rPr>
        <w:t>, and at times prohibitively expensive</w:t>
      </w:r>
      <w:r w:rsidRPr="006F3863">
        <w:rPr>
          <w:rFonts w:ascii="Times" w:hAnsi="Times"/>
        </w:rPr>
        <w:t xml:space="preserve"> (Eggleston, 2012). These germination challenges, along with the slow growth of </w:t>
      </w:r>
      <w:r w:rsidR="00ED0022" w:rsidRPr="006F3863">
        <w:rPr>
          <w:rFonts w:ascii="Times" w:hAnsi="Times"/>
        </w:rPr>
        <w:t xml:space="preserve">whitebark </w:t>
      </w:r>
      <w:r w:rsidRPr="006F3863">
        <w:rPr>
          <w:rFonts w:ascii="Times" w:hAnsi="Times"/>
        </w:rPr>
        <w:t>seedlings compared to other western conifers, has resulted in pric</w:t>
      </w:r>
      <w:r w:rsidR="00CA02DF" w:rsidRPr="006F3863">
        <w:rPr>
          <w:rFonts w:ascii="Times" w:hAnsi="Times"/>
        </w:rPr>
        <w:t>es double or</w:t>
      </w:r>
      <w:r w:rsidRPr="006F3863">
        <w:rPr>
          <w:rFonts w:ascii="Times" w:hAnsi="Times"/>
        </w:rPr>
        <w:t xml:space="preserve"> triple that of comparable products for other speci</w:t>
      </w:r>
      <w:r w:rsidR="007550D6" w:rsidRPr="006F3863">
        <w:rPr>
          <w:rFonts w:ascii="Times" w:hAnsi="Times"/>
        </w:rPr>
        <w:t>es (Eggleston, 2012). E</w:t>
      </w:r>
      <w:r w:rsidRPr="006F3863">
        <w:rPr>
          <w:rFonts w:ascii="Times" w:hAnsi="Times"/>
        </w:rPr>
        <w:t xml:space="preserve">fforts to streamline </w:t>
      </w:r>
      <w:r w:rsidR="007550D6" w:rsidRPr="006F3863">
        <w:rPr>
          <w:rFonts w:ascii="Times" w:hAnsi="Times"/>
        </w:rPr>
        <w:t>seedling culture have increased</w:t>
      </w:r>
      <w:r w:rsidR="00716F1E" w:rsidRPr="006F3863">
        <w:rPr>
          <w:rFonts w:ascii="Times" w:hAnsi="Times"/>
        </w:rPr>
        <w:t xml:space="preserve"> mass </w:t>
      </w:r>
      <w:r w:rsidRPr="006F3863">
        <w:rPr>
          <w:rFonts w:ascii="Times" w:hAnsi="Times"/>
        </w:rPr>
        <w:t>production efficiency</w:t>
      </w:r>
      <w:r w:rsidR="007550D6" w:rsidRPr="006F3863">
        <w:rPr>
          <w:rFonts w:ascii="Times" w:hAnsi="Times"/>
        </w:rPr>
        <w:t xml:space="preserve"> tremendously (Eggleston, 2012). Still, </w:t>
      </w:r>
      <w:r w:rsidRPr="006F3863">
        <w:rPr>
          <w:rFonts w:ascii="Times" w:hAnsi="Times"/>
        </w:rPr>
        <w:t xml:space="preserve">overcoming </w:t>
      </w:r>
      <w:r w:rsidR="00716F1E" w:rsidRPr="006F3863">
        <w:rPr>
          <w:rFonts w:ascii="Times" w:hAnsi="Times"/>
        </w:rPr>
        <w:t>low, erratic, and latent germination in whitebark seed at a large scale continues to be problematic.</w:t>
      </w:r>
      <w:r w:rsidR="00ED0022" w:rsidRPr="006F3863">
        <w:rPr>
          <w:rFonts w:ascii="Times" w:hAnsi="Times"/>
        </w:rPr>
        <w:t xml:space="preserve"> </w:t>
      </w:r>
    </w:p>
    <w:p w14:paraId="164EF940" w14:textId="0928FD1B" w:rsidR="003460D2" w:rsidRPr="006F3863" w:rsidRDefault="001A7400" w:rsidP="006F3863">
      <w:pPr>
        <w:spacing w:line="240" w:lineRule="auto"/>
        <w:rPr>
          <w:rFonts w:ascii="Times" w:hAnsi="Times"/>
        </w:rPr>
      </w:pPr>
      <w:r w:rsidRPr="006F3863">
        <w:rPr>
          <w:rFonts w:ascii="Times" w:hAnsi="Times"/>
        </w:rPr>
        <w:t>At the Forest Service Coeur D</w:t>
      </w:r>
      <w:r w:rsidR="00ED0022" w:rsidRPr="006F3863">
        <w:rPr>
          <w:rFonts w:ascii="Times" w:hAnsi="Times"/>
        </w:rPr>
        <w:t>’ Alene Nursery</w:t>
      </w:r>
      <w:r w:rsidRPr="006F3863">
        <w:rPr>
          <w:rFonts w:ascii="Times" w:hAnsi="Times"/>
        </w:rPr>
        <w:t xml:space="preserve"> (CD</w:t>
      </w:r>
      <w:r w:rsidR="00AA0906" w:rsidRPr="006F3863">
        <w:rPr>
          <w:rFonts w:ascii="Times" w:hAnsi="Times"/>
        </w:rPr>
        <w:t>A Nursery, C</w:t>
      </w:r>
      <w:r w:rsidRPr="006F3863">
        <w:rPr>
          <w:rFonts w:ascii="Times" w:hAnsi="Times"/>
        </w:rPr>
        <w:t>oeur D</w:t>
      </w:r>
      <w:r w:rsidR="00AA0906" w:rsidRPr="006F3863">
        <w:rPr>
          <w:rFonts w:ascii="Times" w:hAnsi="Times"/>
        </w:rPr>
        <w:t>’ Alene, Idaho)</w:t>
      </w:r>
      <w:r w:rsidR="00ED0022" w:rsidRPr="006F3863">
        <w:rPr>
          <w:rFonts w:ascii="Times" w:hAnsi="Times"/>
        </w:rPr>
        <w:t xml:space="preserve">, whitebark seedling production has </w:t>
      </w:r>
      <w:r w:rsidR="00CA02DF" w:rsidRPr="006F3863">
        <w:rPr>
          <w:rFonts w:ascii="Times" w:hAnsi="Times"/>
        </w:rPr>
        <w:t>increased</w:t>
      </w:r>
      <w:r w:rsidR="00ED0022" w:rsidRPr="006F3863">
        <w:rPr>
          <w:rFonts w:ascii="Times" w:hAnsi="Times"/>
        </w:rPr>
        <w:t xml:space="preserve"> </w:t>
      </w:r>
      <w:r w:rsidR="00AA0906" w:rsidRPr="006F3863">
        <w:rPr>
          <w:rFonts w:ascii="Times" w:hAnsi="Times"/>
        </w:rPr>
        <w:t xml:space="preserve">steadily </w:t>
      </w:r>
      <w:r w:rsidR="00ED0022" w:rsidRPr="006F3863">
        <w:rPr>
          <w:rFonts w:ascii="Times" w:hAnsi="Times"/>
        </w:rPr>
        <w:t>in the past decade, and production levels are now near 200,000</w:t>
      </w:r>
      <w:r w:rsidR="00AA0906" w:rsidRPr="006F3863">
        <w:rPr>
          <w:rFonts w:ascii="Times" w:hAnsi="Times"/>
        </w:rPr>
        <w:t xml:space="preserve"> seedlings</w:t>
      </w:r>
      <w:r w:rsidR="00ED0022" w:rsidRPr="006F3863">
        <w:rPr>
          <w:rFonts w:ascii="Times" w:hAnsi="Times"/>
        </w:rPr>
        <w:t xml:space="preserve"> per year (Eggleston, 2012). </w:t>
      </w:r>
      <w:r w:rsidR="00AA0906" w:rsidRPr="006F3863">
        <w:rPr>
          <w:rFonts w:ascii="Times" w:hAnsi="Times"/>
        </w:rPr>
        <w:t xml:space="preserve">At this level, hand-knicking and </w:t>
      </w:r>
      <w:proofErr w:type="gramStart"/>
      <w:r w:rsidR="00AA0906" w:rsidRPr="006F3863">
        <w:rPr>
          <w:rFonts w:ascii="Times" w:hAnsi="Times"/>
        </w:rPr>
        <w:t>hand-</w:t>
      </w:r>
      <w:r w:rsidR="00072A39" w:rsidRPr="006F3863">
        <w:rPr>
          <w:rFonts w:ascii="Times" w:hAnsi="Times"/>
        </w:rPr>
        <w:t>transplanting</w:t>
      </w:r>
      <w:proofErr w:type="gramEnd"/>
      <w:r w:rsidR="00AA0906" w:rsidRPr="006F3863">
        <w:rPr>
          <w:rFonts w:ascii="Times" w:hAnsi="Times"/>
        </w:rPr>
        <w:t xml:space="preserve"> are logistically and economically impractical, so new methods must be developed to ensure adequate germination with a minimal investment of time and labor. Prior to</w:t>
      </w:r>
      <w:r w:rsidRPr="006F3863">
        <w:rPr>
          <w:rFonts w:ascii="Times" w:hAnsi="Times"/>
        </w:rPr>
        <w:t xml:space="preserve"> the 2012 growing season, the CD</w:t>
      </w:r>
      <w:r w:rsidR="00AA0906" w:rsidRPr="006F3863">
        <w:rPr>
          <w:rFonts w:ascii="Times" w:hAnsi="Times"/>
        </w:rPr>
        <w:t xml:space="preserve">A Nursery </w:t>
      </w:r>
      <w:r w:rsidR="006E4B4A" w:rsidRPr="006F3863">
        <w:rPr>
          <w:rFonts w:ascii="Times" w:hAnsi="Times"/>
        </w:rPr>
        <w:t>whitebark seed treatment protocols consisted of a 30-day warm strat, followed by a 60-day cold strat, after which seeds were scarified in a rotary drum sander (Missoula Technology &amp; Development Center (MTDC))</w:t>
      </w:r>
      <w:r w:rsidR="000C042C" w:rsidRPr="006F3863">
        <w:rPr>
          <w:rFonts w:ascii="Times" w:hAnsi="Times"/>
        </w:rPr>
        <w:t xml:space="preserve"> (</w:t>
      </w:r>
      <w:proofErr w:type="spellStart"/>
      <w:r w:rsidR="000C042C" w:rsidRPr="006F3863">
        <w:rPr>
          <w:rFonts w:ascii="Times" w:hAnsi="Times"/>
        </w:rPr>
        <w:t>Gasvota</w:t>
      </w:r>
      <w:proofErr w:type="spellEnd"/>
      <w:r w:rsidR="000C042C" w:rsidRPr="006F3863">
        <w:rPr>
          <w:rFonts w:ascii="Times" w:hAnsi="Times"/>
        </w:rPr>
        <w:t xml:space="preserve"> </w:t>
      </w:r>
      <w:r w:rsidR="0055274D">
        <w:rPr>
          <w:rFonts w:ascii="Times" w:hAnsi="Times"/>
        </w:rPr>
        <w:t>and others,</w:t>
      </w:r>
      <w:r w:rsidR="000C042C" w:rsidRPr="006F3863">
        <w:rPr>
          <w:rFonts w:ascii="Times" w:hAnsi="Times"/>
        </w:rPr>
        <w:t xml:space="preserve"> 2002)</w:t>
      </w:r>
      <w:r w:rsidR="006E4B4A" w:rsidRPr="006F3863">
        <w:rPr>
          <w:rFonts w:ascii="Times" w:hAnsi="Times"/>
        </w:rPr>
        <w:t xml:space="preserve"> for three hours.</w:t>
      </w:r>
      <w:r w:rsidR="00072A39" w:rsidRPr="006F3863">
        <w:rPr>
          <w:rFonts w:ascii="Times" w:hAnsi="Times"/>
        </w:rPr>
        <w:t xml:space="preserve"> </w:t>
      </w:r>
      <w:r w:rsidR="0055274D">
        <w:rPr>
          <w:rFonts w:ascii="Times" w:hAnsi="Times"/>
        </w:rPr>
        <w:t>(</w:t>
      </w:r>
      <w:r w:rsidR="00072A39" w:rsidRPr="006F3863">
        <w:rPr>
          <w:rFonts w:ascii="Times" w:hAnsi="Times"/>
        </w:rPr>
        <w:t>P</w:t>
      </w:r>
      <w:r w:rsidRPr="006F3863">
        <w:rPr>
          <w:rFonts w:ascii="Times" w:hAnsi="Times"/>
        </w:rPr>
        <w:t>ast trials at CD</w:t>
      </w:r>
      <w:r w:rsidR="006E4B4A" w:rsidRPr="006F3863">
        <w:rPr>
          <w:rFonts w:ascii="Times" w:hAnsi="Times"/>
        </w:rPr>
        <w:t xml:space="preserve">A Nursery have indicated that sanding beyond three hours does not increase </w:t>
      </w:r>
      <w:r w:rsidR="00072A39" w:rsidRPr="006F3863">
        <w:rPr>
          <w:rFonts w:ascii="Times" w:hAnsi="Times"/>
        </w:rPr>
        <w:t xml:space="preserve">germination </w:t>
      </w:r>
      <w:r w:rsidR="0055274D">
        <w:rPr>
          <w:rFonts w:ascii="Times" w:hAnsi="Times"/>
        </w:rPr>
        <w:t>[</w:t>
      </w:r>
      <w:r w:rsidR="00072A39" w:rsidRPr="006F3863">
        <w:rPr>
          <w:rFonts w:ascii="Times" w:hAnsi="Times"/>
        </w:rPr>
        <w:t>unpublished data</w:t>
      </w:r>
      <w:r w:rsidR="0055274D">
        <w:rPr>
          <w:rFonts w:ascii="Times" w:hAnsi="Times"/>
        </w:rPr>
        <w:t>])</w:t>
      </w:r>
      <w:r w:rsidR="00072A39" w:rsidRPr="006F3863">
        <w:rPr>
          <w:rFonts w:ascii="Times" w:hAnsi="Times"/>
        </w:rPr>
        <w:t>. This dormancy release treatment, in combination with d</w:t>
      </w:r>
      <w:r w:rsidRPr="006F3863">
        <w:rPr>
          <w:rFonts w:ascii="Times" w:hAnsi="Times"/>
        </w:rPr>
        <w:t>irect sowing, has allowed the CD</w:t>
      </w:r>
      <w:r w:rsidR="00072A39" w:rsidRPr="006F3863">
        <w:rPr>
          <w:rFonts w:ascii="Times" w:hAnsi="Times"/>
        </w:rPr>
        <w:t xml:space="preserve">A Nursery to produce large numbers of restoration seedlings, while avoiding the costs of hand-knicking and </w:t>
      </w:r>
      <w:proofErr w:type="gramStart"/>
      <w:r w:rsidR="00072A39" w:rsidRPr="006F3863">
        <w:rPr>
          <w:rFonts w:ascii="Times" w:hAnsi="Times"/>
        </w:rPr>
        <w:t>hand-transplanting</w:t>
      </w:r>
      <w:proofErr w:type="gramEnd"/>
      <w:r w:rsidR="00072A39" w:rsidRPr="006F3863">
        <w:rPr>
          <w:rFonts w:ascii="Times" w:hAnsi="Times"/>
        </w:rPr>
        <w:t>. Unfortunately, germination percentages using this method have historically r</w:t>
      </w:r>
      <w:r w:rsidR="00391249" w:rsidRPr="006F3863">
        <w:rPr>
          <w:rFonts w:ascii="Times" w:hAnsi="Times"/>
        </w:rPr>
        <w:t>anged from</w:t>
      </w:r>
      <w:r w:rsidR="00CC42B2" w:rsidRPr="006F3863">
        <w:rPr>
          <w:rFonts w:ascii="Times" w:hAnsi="Times"/>
        </w:rPr>
        <w:t xml:space="preserve"> 13-7</w:t>
      </w:r>
      <w:r w:rsidR="00391249" w:rsidRPr="006F3863">
        <w:rPr>
          <w:rFonts w:ascii="Times" w:hAnsi="Times"/>
        </w:rPr>
        <w:t>5%</w:t>
      </w:r>
      <w:r w:rsidR="00CA02DF" w:rsidRPr="006F3863">
        <w:rPr>
          <w:rFonts w:ascii="Times" w:hAnsi="Times"/>
        </w:rPr>
        <w:t xml:space="preserve"> (Eggleston, 2012)</w:t>
      </w:r>
      <w:r w:rsidR="00391249" w:rsidRPr="006F3863">
        <w:rPr>
          <w:rFonts w:ascii="Times" w:hAnsi="Times"/>
        </w:rPr>
        <w:t>. This wide range, coupled with the regular incidence of significant numbers of latent</w:t>
      </w:r>
      <w:r w:rsidR="0066735C" w:rsidRPr="006F3863">
        <w:rPr>
          <w:rFonts w:ascii="Times" w:hAnsi="Times"/>
        </w:rPr>
        <w:t xml:space="preserve"> germinant</w:t>
      </w:r>
      <w:r w:rsidR="00391249" w:rsidRPr="006F3863">
        <w:rPr>
          <w:rFonts w:ascii="Times" w:hAnsi="Times"/>
        </w:rPr>
        <w:t xml:space="preserve">s, </w:t>
      </w:r>
      <w:r w:rsidR="008D419B" w:rsidRPr="006F3863">
        <w:rPr>
          <w:rFonts w:ascii="Times" w:hAnsi="Times"/>
        </w:rPr>
        <w:t>indicates</w:t>
      </w:r>
      <w:r w:rsidR="00391249" w:rsidRPr="006F3863">
        <w:rPr>
          <w:rFonts w:ascii="Times" w:hAnsi="Times"/>
        </w:rPr>
        <w:t xml:space="preserve"> that seed dormancy mechanisms were not entirely overcome, and/or that other factors influencing germination were at play.</w:t>
      </w:r>
    </w:p>
    <w:p w14:paraId="6EBCCBA3" w14:textId="77777777" w:rsidR="00391249" w:rsidRPr="006F3863" w:rsidRDefault="00CA02DF" w:rsidP="006F3863">
      <w:pPr>
        <w:spacing w:line="240" w:lineRule="auto"/>
        <w:rPr>
          <w:rFonts w:ascii="Times" w:hAnsi="Times"/>
        </w:rPr>
      </w:pPr>
      <w:r w:rsidRPr="006F3863">
        <w:rPr>
          <w:rFonts w:ascii="Times" w:hAnsi="Times"/>
        </w:rPr>
        <w:t>I</w:t>
      </w:r>
      <w:r w:rsidR="00391249" w:rsidRPr="006F3863">
        <w:rPr>
          <w:rFonts w:ascii="Times" w:hAnsi="Times"/>
        </w:rPr>
        <w:t xml:space="preserve">f whitebark pine seedlings are to be produced in large quantities for the purpose of restoration plantings, nursery practices must be aimed at </w:t>
      </w:r>
      <w:r w:rsidRPr="006F3863">
        <w:rPr>
          <w:rFonts w:ascii="Times" w:hAnsi="Times"/>
        </w:rPr>
        <w:t>overcoming the complications associated with seed dormancy. S</w:t>
      </w:r>
      <w:r w:rsidR="00391249" w:rsidRPr="006F3863">
        <w:rPr>
          <w:rFonts w:ascii="Times" w:hAnsi="Times"/>
        </w:rPr>
        <w:t xml:space="preserve">eed waste </w:t>
      </w:r>
      <w:r w:rsidR="007550D6" w:rsidRPr="006F3863">
        <w:rPr>
          <w:rFonts w:ascii="Times" w:hAnsi="Times"/>
        </w:rPr>
        <w:t>must be minim</w:t>
      </w:r>
      <w:r w:rsidRPr="006F3863">
        <w:rPr>
          <w:rFonts w:ascii="Times" w:hAnsi="Times"/>
        </w:rPr>
        <w:t xml:space="preserve">ized </w:t>
      </w:r>
      <w:r w:rsidR="007550D6" w:rsidRPr="006F3863">
        <w:rPr>
          <w:rFonts w:ascii="Times" w:hAnsi="Times"/>
        </w:rPr>
        <w:t>by more fully realizing germinative capacity</w:t>
      </w:r>
      <w:r w:rsidR="009A0278" w:rsidRPr="006F3863">
        <w:rPr>
          <w:rFonts w:ascii="Times" w:hAnsi="Times"/>
        </w:rPr>
        <w:t xml:space="preserve">, </w:t>
      </w:r>
      <w:r w:rsidRPr="006F3863">
        <w:rPr>
          <w:rFonts w:ascii="Times" w:hAnsi="Times"/>
        </w:rPr>
        <w:t xml:space="preserve">while simultaneously </w:t>
      </w:r>
      <w:r w:rsidR="00391249" w:rsidRPr="006F3863">
        <w:rPr>
          <w:rFonts w:ascii="Times" w:hAnsi="Times"/>
        </w:rPr>
        <w:t xml:space="preserve">avoiding </w:t>
      </w:r>
      <w:r w:rsidR="00C82F29" w:rsidRPr="006F3863">
        <w:rPr>
          <w:rFonts w:ascii="Times" w:hAnsi="Times"/>
        </w:rPr>
        <w:lastRenderedPageBreak/>
        <w:t>laborious and expensive processes</w:t>
      </w:r>
      <w:r w:rsidR="009A0278" w:rsidRPr="006F3863">
        <w:rPr>
          <w:rFonts w:ascii="Times" w:hAnsi="Times"/>
        </w:rPr>
        <w:t xml:space="preserve"> such as </w:t>
      </w:r>
      <w:r w:rsidR="00C82F29" w:rsidRPr="006F3863">
        <w:rPr>
          <w:rFonts w:ascii="Times" w:hAnsi="Times"/>
        </w:rPr>
        <w:t>altering growing regimes to accommodate significant latent germination. In an effort</w:t>
      </w:r>
      <w:r w:rsidRPr="006F3863">
        <w:rPr>
          <w:rFonts w:ascii="Times" w:hAnsi="Times"/>
        </w:rPr>
        <w:t xml:space="preserve"> to avoid seed and labor waste in future whitebark crops, </w:t>
      </w:r>
      <w:r w:rsidR="00C82F29" w:rsidRPr="006F3863">
        <w:rPr>
          <w:rFonts w:ascii="Times" w:hAnsi="Times"/>
        </w:rPr>
        <w:t xml:space="preserve">we conducted </w:t>
      </w:r>
      <w:r w:rsidR="001A7400" w:rsidRPr="006F3863">
        <w:rPr>
          <w:rFonts w:ascii="Times" w:hAnsi="Times"/>
        </w:rPr>
        <w:t>a study comparing the current CD</w:t>
      </w:r>
      <w:r w:rsidR="00C82F29" w:rsidRPr="006F3863">
        <w:rPr>
          <w:rFonts w:ascii="Times" w:hAnsi="Times"/>
        </w:rPr>
        <w:t>A Nursery stratification regime to one with an extended cold strat</w:t>
      </w:r>
      <w:r w:rsidR="0055274D">
        <w:rPr>
          <w:rFonts w:ascii="Times" w:hAnsi="Times"/>
        </w:rPr>
        <w:t>ification</w:t>
      </w:r>
      <w:r w:rsidR="00C82F29" w:rsidRPr="006F3863">
        <w:rPr>
          <w:rFonts w:ascii="Times" w:hAnsi="Times"/>
        </w:rPr>
        <w:t xml:space="preserve"> treatment. We also considered potentially influencing factors, such as </w:t>
      </w:r>
      <w:r w:rsidR="008D419B" w:rsidRPr="006F3863">
        <w:rPr>
          <w:rFonts w:ascii="Times" w:hAnsi="Times"/>
        </w:rPr>
        <w:t>seed source and growing schedule</w:t>
      </w:r>
      <w:r w:rsidR="007D54D9" w:rsidRPr="006F3863">
        <w:rPr>
          <w:rFonts w:ascii="Times" w:hAnsi="Times"/>
        </w:rPr>
        <w:t>.</w:t>
      </w:r>
      <w:r w:rsidR="00C82F29" w:rsidRPr="006F3863">
        <w:rPr>
          <w:rFonts w:ascii="Times" w:hAnsi="Times"/>
        </w:rPr>
        <w:t xml:space="preserve"> Th</w:t>
      </w:r>
      <w:r w:rsidR="008D419B" w:rsidRPr="006F3863">
        <w:rPr>
          <w:rFonts w:ascii="Times" w:hAnsi="Times"/>
        </w:rPr>
        <w:t>ese studies</w:t>
      </w:r>
      <w:r w:rsidR="00C82F29" w:rsidRPr="006F3863">
        <w:rPr>
          <w:rFonts w:ascii="Times" w:hAnsi="Times"/>
        </w:rPr>
        <w:t xml:space="preserve"> w</w:t>
      </w:r>
      <w:r w:rsidR="007D54D9" w:rsidRPr="006F3863">
        <w:rPr>
          <w:rFonts w:ascii="Times" w:hAnsi="Times"/>
        </w:rPr>
        <w:t>ere</w:t>
      </w:r>
      <w:r w:rsidR="00C82F29" w:rsidRPr="006F3863">
        <w:rPr>
          <w:rFonts w:ascii="Times" w:hAnsi="Times"/>
        </w:rPr>
        <w:t xml:space="preserve"> conducted in the 2011 an</w:t>
      </w:r>
      <w:r w:rsidR="001A7400" w:rsidRPr="006F3863">
        <w:rPr>
          <w:rFonts w:ascii="Times" w:hAnsi="Times"/>
        </w:rPr>
        <w:t>d 2012 growing seasons at the CD</w:t>
      </w:r>
      <w:r w:rsidR="00C82F29" w:rsidRPr="006F3863">
        <w:rPr>
          <w:rFonts w:ascii="Times" w:hAnsi="Times"/>
        </w:rPr>
        <w:t>A Nursery.</w:t>
      </w:r>
    </w:p>
    <w:p w14:paraId="5BDD1FAE" w14:textId="77777777" w:rsidR="007D54D9" w:rsidRPr="006F3863" w:rsidRDefault="007D54D9" w:rsidP="006F3863">
      <w:pPr>
        <w:spacing w:line="240" w:lineRule="auto"/>
        <w:rPr>
          <w:rFonts w:ascii="Times" w:hAnsi="Times"/>
        </w:rPr>
      </w:pPr>
    </w:p>
    <w:p w14:paraId="4D152C9A" w14:textId="6D8648DB" w:rsidR="00A710EF" w:rsidRPr="006F3863" w:rsidRDefault="0022578C" w:rsidP="006F3863">
      <w:pPr>
        <w:spacing w:line="240" w:lineRule="auto"/>
        <w:rPr>
          <w:rFonts w:ascii="Times" w:hAnsi="Times"/>
        </w:rPr>
      </w:pPr>
      <w:r w:rsidRPr="006F3863">
        <w:rPr>
          <w:rFonts w:ascii="Times" w:hAnsi="Times"/>
        </w:rPr>
        <w:t>&lt;1&gt;Materials</w:t>
      </w:r>
      <w:r w:rsidR="0055274D">
        <w:rPr>
          <w:rFonts w:ascii="Times" w:hAnsi="Times"/>
        </w:rPr>
        <w:t xml:space="preserve">, </w:t>
      </w:r>
      <w:r w:rsidRPr="006F3863">
        <w:rPr>
          <w:rFonts w:ascii="Times" w:hAnsi="Times"/>
        </w:rPr>
        <w:t>Methods</w:t>
      </w:r>
      <w:r w:rsidR="0055274D">
        <w:rPr>
          <w:rFonts w:ascii="Times" w:hAnsi="Times"/>
        </w:rPr>
        <w:t>, and Treatments</w:t>
      </w:r>
      <w:r w:rsidRPr="006F3863">
        <w:rPr>
          <w:rFonts w:ascii="Times" w:hAnsi="Times"/>
        </w:rPr>
        <w:br/>
      </w:r>
      <w:r w:rsidR="001A7400" w:rsidRPr="006F3863">
        <w:rPr>
          <w:rFonts w:ascii="Times" w:hAnsi="Times"/>
        </w:rPr>
        <w:t>S</w:t>
      </w:r>
      <w:r w:rsidR="008D419B" w:rsidRPr="006F3863">
        <w:rPr>
          <w:rFonts w:ascii="Times" w:hAnsi="Times"/>
        </w:rPr>
        <w:t>tudies were</w:t>
      </w:r>
      <w:r w:rsidR="00A710EF" w:rsidRPr="006F3863">
        <w:rPr>
          <w:rFonts w:ascii="Times" w:hAnsi="Times"/>
        </w:rPr>
        <w:t xml:space="preserve"> </w:t>
      </w:r>
      <w:r w:rsidR="00765905" w:rsidRPr="006F3863">
        <w:rPr>
          <w:rFonts w:ascii="Times" w:hAnsi="Times"/>
        </w:rPr>
        <w:t>performed</w:t>
      </w:r>
      <w:r w:rsidR="00A710EF" w:rsidRPr="006F3863">
        <w:rPr>
          <w:rFonts w:ascii="Times" w:hAnsi="Times"/>
        </w:rPr>
        <w:t xml:space="preserve"> in conjunction with operational whitebark seedling production for National Forest and National Park System clients</w:t>
      </w:r>
      <w:r w:rsidR="001A7400" w:rsidRPr="006F3863">
        <w:rPr>
          <w:rFonts w:ascii="Times" w:hAnsi="Times"/>
        </w:rPr>
        <w:t xml:space="preserve"> at the CD</w:t>
      </w:r>
      <w:r w:rsidR="008D419B" w:rsidRPr="006F3863">
        <w:rPr>
          <w:rFonts w:ascii="Times" w:hAnsi="Times"/>
        </w:rPr>
        <w:t>A Nursery</w:t>
      </w:r>
      <w:r w:rsidR="00A710EF" w:rsidRPr="006F3863">
        <w:rPr>
          <w:rFonts w:ascii="Times" w:hAnsi="Times"/>
        </w:rPr>
        <w:t xml:space="preserve">. In total, 25 operational seedlots were sown, representing all six of the USFS Northern Rockies whitebark </w:t>
      </w:r>
      <w:r w:rsidR="00BC098B" w:rsidRPr="006F3863">
        <w:rPr>
          <w:rFonts w:ascii="Times" w:hAnsi="Times"/>
        </w:rPr>
        <w:t>seed</w:t>
      </w:r>
      <w:r w:rsidR="00A710EF" w:rsidRPr="006F3863">
        <w:rPr>
          <w:rFonts w:ascii="Times" w:hAnsi="Times"/>
        </w:rPr>
        <w:t xml:space="preserve"> zones</w:t>
      </w:r>
      <w:r w:rsidR="00E11611" w:rsidRPr="006F3863">
        <w:rPr>
          <w:rFonts w:ascii="Times" w:hAnsi="Times"/>
        </w:rPr>
        <w:t xml:space="preserve"> (Table 1)</w:t>
      </w:r>
      <w:r w:rsidR="00A710EF" w:rsidRPr="006F3863">
        <w:rPr>
          <w:rFonts w:ascii="Times" w:hAnsi="Times"/>
        </w:rPr>
        <w:t xml:space="preserve">. Four of these seedlots had comparable sowings in 2011 and </w:t>
      </w:r>
      <w:r w:rsidR="00D37001" w:rsidRPr="006F3863">
        <w:rPr>
          <w:rFonts w:ascii="Times" w:hAnsi="Times"/>
        </w:rPr>
        <w:t xml:space="preserve">2012; the others </w:t>
      </w:r>
      <w:r w:rsidR="00A710EF" w:rsidRPr="006F3863">
        <w:rPr>
          <w:rFonts w:ascii="Times" w:hAnsi="Times"/>
        </w:rPr>
        <w:t xml:space="preserve">were sown in the </w:t>
      </w:r>
      <w:proofErr w:type="gramStart"/>
      <w:r w:rsidR="00A710EF" w:rsidRPr="006F3863">
        <w:rPr>
          <w:rFonts w:ascii="Times" w:hAnsi="Times"/>
        </w:rPr>
        <w:t>2012 growing</w:t>
      </w:r>
      <w:proofErr w:type="gramEnd"/>
      <w:r w:rsidR="00A710EF" w:rsidRPr="006F3863">
        <w:rPr>
          <w:rFonts w:ascii="Times" w:hAnsi="Times"/>
        </w:rPr>
        <w:t xml:space="preserve"> season only. Two studies were conducted using germination data collected from these operational </w:t>
      </w:r>
      <w:r w:rsidR="001A7400" w:rsidRPr="006F3863">
        <w:rPr>
          <w:rFonts w:ascii="Times" w:hAnsi="Times"/>
        </w:rPr>
        <w:t xml:space="preserve">(client-requested, large-volume nursery stock order) </w:t>
      </w:r>
      <w:r w:rsidR="00A710EF" w:rsidRPr="006F3863">
        <w:rPr>
          <w:rFonts w:ascii="Times" w:hAnsi="Times"/>
        </w:rPr>
        <w:t xml:space="preserve">whitebark sowings. </w:t>
      </w:r>
    </w:p>
    <w:p w14:paraId="405CFA58" w14:textId="77777777" w:rsidR="00A31A0B" w:rsidRPr="006F3863" w:rsidRDefault="008D419B" w:rsidP="006F3863">
      <w:pPr>
        <w:spacing w:line="240" w:lineRule="auto"/>
        <w:rPr>
          <w:rFonts w:ascii="Times" w:hAnsi="Times"/>
        </w:rPr>
      </w:pPr>
      <w:r w:rsidRPr="006F3863">
        <w:rPr>
          <w:rFonts w:ascii="Times" w:hAnsi="Times"/>
        </w:rPr>
        <w:t xml:space="preserve">The first </w:t>
      </w:r>
      <w:r w:rsidR="000948CB" w:rsidRPr="006F3863">
        <w:rPr>
          <w:rFonts w:ascii="Times" w:hAnsi="Times"/>
        </w:rPr>
        <w:t>stud</w:t>
      </w:r>
      <w:r w:rsidRPr="006F3863">
        <w:rPr>
          <w:rFonts w:ascii="Times" w:hAnsi="Times"/>
        </w:rPr>
        <w:t>y</w:t>
      </w:r>
      <w:r w:rsidR="000948CB" w:rsidRPr="006F3863">
        <w:rPr>
          <w:rFonts w:ascii="Times" w:hAnsi="Times"/>
        </w:rPr>
        <w:t xml:space="preserve"> </w:t>
      </w:r>
      <w:r w:rsidR="00765905" w:rsidRPr="006F3863">
        <w:rPr>
          <w:rFonts w:ascii="Times" w:hAnsi="Times"/>
        </w:rPr>
        <w:t xml:space="preserve">was designed to compare germination under a single stratification regime using variations in seed source and growing schedule as factors. Namely, seedlot age, source elevation, </w:t>
      </w:r>
      <w:r w:rsidR="00BC098B" w:rsidRPr="006F3863">
        <w:rPr>
          <w:rFonts w:ascii="Times" w:hAnsi="Times"/>
        </w:rPr>
        <w:t>seed</w:t>
      </w:r>
      <w:r w:rsidR="00765905" w:rsidRPr="006F3863">
        <w:rPr>
          <w:rFonts w:ascii="Times" w:hAnsi="Times"/>
        </w:rPr>
        <w:t xml:space="preserve"> zone, and</w:t>
      </w:r>
      <w:r w:rsidRPr="006F3863">
        <w:rPr>
          <w:rFonts w:ascii="Times" w:hAnsi="Times"/>
        </w:rPr>
        <w:t xml:space="preserve"> sowing</w:t>
      </w:r>
      <w:r w:rsidR="00765905" w:rsidRPr="006F3863">
        <w:rPr>
          <w:rFonts w:ascii="Times" w:hAnsi="Times"/>
        </w:rPr>
        <w:t xml:space="preserve"> date were considered as potentially influencing germination rate. Only lots sown during the 2012 growing season were considered in this trial.</w:t>
      </w:r>
      <w:r w:rsidR="00A31A0B" w:rsidRPr="006F3863">
        <w:rPr>
          <w:rFonts w:ascii="Times" w:hAnsi="Times"/>
        </w:rPr>
        <w:t xml:space="preserve"> </w:t>
      </w:r>
      <w:r w:rsidR="00765905" w:rsidRPr="006F3863">
        <w:rPr>
          <w:rFonts w:ascii="Times" w:hAnsi="Times"/>
        </w:rPr>
        <w:t>The second study compared germination rates of four seedlots using differing stratification protocols</w:t>
      </w:r>
      <w:r w:rsidR="000948CB" w:rsidRPr="006F3863">
        <w:rPr>
          <w:rFonts w:ascii="Times" w:hAnsi="Times"/>
        </w:rPr>
        <w:t xml:space="preserve"> (60 or 90 days cold stratification) sown in 2011 and 2012</w:t>
      </w:r>
      <w:r w:rsidR="00765905" w:rsidRPr="006F3863">
        <w:rPr>
          <w:rFonts w:ascii="Times" w:hAnsi="Times"/>
        </w:rPr>
        <w:t>.</w:t>
      </w:r>
      <w:r w:rsidR="00A31A0B" w:rsidRPr="006F3863">
        <w:rPr>
          <w:rFonts w:ascii="Times" w:hAnsi="Times"/>
        </w:rPr>
        <w:t xml:space="preserve"> </w:t>
      </w:r>
    </w:p>
    <w:p w14:paraId="49FCD91C" w14:textId="2564014A" w:rsidR="00A31A0B" w:rsidRPr="006F3863" w:rsidRDefault="00A31A0B" w:rsidP="006F3863">
      <w:pPr>
        <w:spacing w:line="240" w:lineRule="auto"/>
        <w:rPr>
          <w:rFonts w:ascii="Times" w:hAnsi="Times"/>
        </w:rPr>
      </w:pPr>
      <w:r w:rsidRPr="006F3863">
        <w:rPr>
          <w:rFonts w:ascii="Times" w:hAnsi="Times"/>
        </w:rPr>
        <w:t xml:space="preserve">For both studies, operational whitebark seedlots collected from various locations and years were cleaned, stored, scarified, and sown under standard operational conditions for whitebark </w:t>
      </w:r>
      <w:r w:rsidR="00FF00E7" w:rsidRPr="006F3863">
        <w:rPr>
          <w:rFonts w:ascii="Times" w:hAnsi="Times"/>
        </w:rPr>
        <w:t>seed</w:t>
      </w:r>
      <w:r w:rsidR="008D419B" w:rsidRPr="006F3863">
        <w:rPr>
          <w:rFonts w:ascii="Times" w:hAnsi="Times"/>
        </w:rPr>
        <w:t>ling production at the C</w:t>
      </w:r>
      <w:r w:rsidR="001A7400" w:rsidRPr="006F3863">
        <w:rPr>
          <w:rFonts w:ascii="Times" w:hAnsi="Times"/>
        </w:rPr>
        <w:t>D</w:t>
      </w:r>
      <w:r w:rsidRPr="006F3863">
        <w:rPr>
          <w:rFonts w:ascii="Times" w:hAnsi="Times"/>
        </w:rPr>
        <w:t xml:space="preserve">A Nursery. </w:t>
      </w:r>
      <w:r w:rsidR="000948CB" w:rsidRPr="006F3863">
        <w:rPr>
          <w:rFonts w:ascii="Times" w:hAnsi="Times"/>
        </w:rPr>
        <w:t xml:space="preserve">Seed was cleaned to 98% or better purity, and 90% or better seeds filled. All seed was warm stratified at </w:t>
      </w:r>
      <w:r w:rsidR="00CD0CE0" w:rsidRPr="006F3863">
        <w:rPr>
          <w:rFonts w:ascii="Times" w:hAnsi="Times"/>
        </w:rPr>
        <w:t>18</w:t>
      </w:r>
      <w:r w:rsidR="000948CB" w:rsidRPr="006F3863">
        <w:rPr>
          <w:rFonts w:ascii="Times" w:hAnsi="Times" w:cstheme="minorHAnsi"/>
        </w:rPr>
        <w:t>°</w:t>
      </w:r>
      <w:r w:rsidR="00CD0CE0" w:rsidRPr="006F3863">
        <w:rPr>
          <w:rFonts w:ascii="Times" w:hAnsi="Times" w:cstheme="minorHAnsi"/>
        </w:rPr>
        <w:t>C (65°F)</w:t>
      </w:r>
      <w:r w:rsidR="000948CB" w:rsidRPr="006F3863">
        <w:rPr>
          <w:rFonts w:ascii="Times" w:hAnsi="Times" w:cstheme="minorHAnsi"/>
        </w:rPr>
        <w:t xml:space="preserve"> for 30 days, then cold stratified at </w:t>
      </w:r>
      <w:r w:rsidR="00CD0CE0" w:rsidRPr="006F3863">
        <w:rPr>
          <w:rFonts w:ascii="Times" w:hAnsi="Times" w:cstheme="minorHAnsi"/>
        </w:rPr>
        <w:t>0.5-1.7°C (</w:t>
      </w:r>
      <w:r w:rsidR="000948CB" w:rsidRPr="006F3863">
        <w:rPr>
          <w:rFonts w:ascii="Times" w:hAnsi="Times" w:cstheme="minorHAnsi"/>
        </w:rPr>
        <w:t>33-35°F</w:t>
      </w:r>
      <w:r w:rsidR="00CD0CE0" w:rsidRPr="006F3863">
        <w:rPr>
          <w:rFonts w:ascii="Times" w:hAnsi="Times" w:cstheme="minorHAnsi"/>
        </w:rPr>
        <w:t>)</w:t>
      </w:r>
      <w:r w:rsidR="000948CB" w:rsidRPr="006F3863">
        <w:rPr>
          <w:rFonts w:ascii="Times" w:hAnsi="Times" w:cstheme="minorHAnsi"/>
        </w:rPr>
        <w:t xml:space="preserve"> for either 60 </w:t>
      </w:r>
      <w:r w:rsidR="008D419B" w:rsidRPr="006F3863">
        <w:rPr>
          <w:rFonts w:ascii="Times" w:hAnsi="Times" w:cstheme="minorHAnsi"/>
        </w:rPr>
        <w:t xml:space="preserve">(2011 sowings) </w:t>
      </w:r>
      <w:r w:rsidR="000948CB" w:rsidRPr="006F3863">
        <w:rPr>
          <w:rFonts w:ascii="Times" w:hAnsi="Times" w:cstheme="minorHAnsi"/>
        </w:rPr>
        <w:t xml:space="preserve">or 90 </w:t>
      </w:r>
      <w:r w:rsidR="008D419B" w:rsidRPr="006F3863">
        <w:rPr>
          <w:rFonts w:ascii="Times" w:hAnsi="Times" w:cstheme="minorHAnsi"/>
        </w:rPr>
        <w:t xml:space="preserve">(2012 sowings) </w:t>
      </w:r>
      <w:r w:rsidR="000948CB" w:rsidRPr="006F3863">
        <w:rPr>
          <w:rFonts w:ascii="Times" w:hAnsi="Times" w:cstheme="minorHAnsi"/>
        </w:rPr>
        <w:t xml:space="preserve">days. Following stratification, seeds were </w:t>
      </w:r>
      <w:r w:rsidR="008D419B" w:rsidRPr="006F3863">
        <w:rPr>
          <w:rFonts w:ascii="Times" w:hAnsi="Times" w:cstheme="minorHAnsi"/>
        </w:rPr>
        <w:t xml:space="preserve">surface dried and </w:t>
      </w:r>
      <w:r w:rsidR="000948CB" w:rsidRPr="006F3863">
        <w:rPr>
          <w:rFonts w:ascii="Times" w:hAnsi="Times" w:cstheme="minorHAnsi"/>
        </w:rPr>
        <w:t xml:space="preserve">scarified using a </w:t>
      </w:r>
      <w:r w:rsidR="006E4B4A" w:rsidRPr="006F3863">
        <w:rPr>
          <w:rFonts w:ascii="Times" w:hAnsi="Times" w:cstheme="minorHAnsi"/>
        </w:rPr>
        <w:t>rotary drum sander</w:t>
      </w:r>
      <w:r w:rsidR="000948CB" w:rsidRPr="006F3863">
        <w:rPr>
          <w:rFonts w:ascii="Times" w:hAnsi="Times" w:cstheme="minorHAnsi"/>
        </w:rPr>
        <w:t xml:space="preserve"> by sanding 0.25 </w:t>
      </w:r>
      <w:proofErr w:type="spellStart"/>
      <w:r w:rsidR="000948CB" w:rsidRPr="006F3863">
        <w:rPr>
          <w:rFonts w:ascii="Times" w:hAnsi="Times" w:cstheme="minorHAnsi"/>
        </w:rPr>
        <w:t>lbs</w:t>
      </w:r>
      <w:proofErr w:type="spellEnd"/>
      <w:r w:rsidR="000948CB" w:rsidRPr="006F3863">
        <w:rPr>
          <w:rFonts w:ascii="Times" w:hAnsi="Times" w:cstheme="minorHAnsi"/>
        </w:rPr>
        <w:t xml:space="preserve"> </w:t>
      </w:r>
      <w:r w:rsidR="001D0B8B">
        <w:rPr>
          <w:rFonts w:ascii="Times" w:hAnsi="Times" w:cstheme="minorHAnsi"/>
        </w:rPr>
        <w:t xml:space="preserve">(.11 kg) </w:t>
      </w:r>
      <w:r w:rsidR="000948CB" w:rsidRPr="006F3863">
        <w:rPr>
          <w:rFonts w:ascii="Times" w:hAnsi="Times" w:cstheme="minorHAnsi"/>
        </w:rPr>
        <w:t xml:space="preserve">of seed </w:t>
      </w:r>
      <w:r w:rsidR="008D419B" w:rsidRPr="006F3863">
        <w:rPr>
          <w:rFonts w:ascii="Times" w:hAnsi="Times" w:cstheme="minorHAnsi"/>
        </w:rPr>
        <w:t xml:space="preserve">at a time </w:t>
      </w:r>
      <w:r w:rsidR="000948CB" w:rsidRPr="006F3863">
        <w:rPr>
          <w:rFonts w:ascii="Times" w:hAnsi="Times" w:cstheme="minorHAnsi"/>
        </w:rPr>
        <w:t xml:space="preserve">for three hours, then washing to remove dust. Seeds were immediately sown into containers for operational seedling production by inserting the seed below the media horizon so as to be completely covered with </w:t>
      </w:r>
      <w:r w:rsidR="00FF00E7" w:rsidRPr="006F3863">
        <w:rPr>
          <w:rFonts w:ascii="Times" w:hAnsi="Times" w:cstheme="minorHAnsi"/>
        </w:rPr>
        <w:t xml:space="preserve">moist </w:t>
      </w:r>
      <w:r w:rsidR="000948CB" w:rsidRPr="006F3863">
        <w:rPr>
          <w:rFonts w:ascii="Times" w:hAnsi="Times" w:cstheme="minorHAnsi"/>
        </w:rPr>
        <w:t xml:space="preserve">media, but no more than </w:t>
      </w:r>
      <w:r w:rsidR="0008783B" w:rsidRPr="006F3863">
        <w:rPr>
          <w:rFonts w:ascii="Times" w:hAnsi="Times" w:cstheme="minorHAnsi"/>
        </w:rPr>
        <w:t>0.25</w:t>
      </w:r>
      <w:r w:rsidR="001D0B8B">
        <w:rPr>
          <w:rFonts w:ascii="Times" w:hAnsi="Times" w:cstheme="minorHAnsi"/>
        </w:rPr>
        <w:t xml:space="preserve"> in (.64 cm)</w:t>
      </w:r>
      <w:r w:rsidR="0008783B" w:rsidRPr="006F3863">
        <w:rPr>
          <w:rFonts w:ascii="Times" w:hAnsi="Times" w:cstheme="minorHAnsi"/>
        </w:rPr>
        <w:t xml:space="preserve"> deep, and covered with no more than 0.25</w:t>
      </w:r>
      <w:r w:rsidR="001D0B8B">
        <w:rPr>
          <w:rFonts w:ascii="Times" w:hAnsi="Times" w:cstheme="minorHAnsi"/>
        </w:rPr>
        <w:t xml:space="preserve"> in (.64 cm</w:t>
      </w:r>
      <w:proofErr w:type="gramStart"/>
      <w:r w:rsidR="001D0B8B">
        <w:rPr>
          <w:rFonts w:ascii="Times" w:hAnsi="Times" w:cstheme="minorHAnsi"/>
        </w:rPr>
        <w:t xml:space="preserve">) </w:t>
      </w:r>
      <w:r w:rsidR="0008783B" w:rsidRPr="006F3863">
        <w:rPr>
          <w:rFonts w:ascii="Times" w:hAnsi="Times" w:cstheme="minorHAnsi"/>
        </w:rPr>
        <w:t xml:space="preserve"> of</w:t>
      </w:r>
      <w:proofErr w:type="gramEnd"/>
      <w:r w:rsidR="0008783B" w:rsidRPr="006F3863">
        <w:rPr>
          <w:rFonts w:ascii="Times" w:hAnsi="Times" w:cstheme="minorHAnsi"/>
        </w:rPr>
        <w:t xml:space="preserve"> inert top-dressing. Containers were placed in greenhouses heated to </w:t>
      </w:r>
      <w:r w:rsidR="001D0B8B" w:rsidRPr="006F3863">
        <w:rPr>
          <w:rFonts w:ascii="Times" w:hAnsi="Times"/>
        </w:rPr>
        <w:t>18</w:t>
      </w:r>
      <w:r w:rsidR="001D0B8B" w:rsidRPr="006F3863">
        <w:rPr>
          <w:rFonts w:ascii="Times" w:hAnsi="Times" w:cstheme="minorHAnsi"/>
        </w:rPr>
        <w:t xml:space="preserve">°C </w:t>
      </w:r>
      <w:r w:rsidR="001D0B8B">
        <w:rPr>
          <w:rFonts w:ascii="Times" w:hAnsi="Times" w:cstheme="minorHAnsi"/>
        </w:rPr>
        <w:t>(</w:t>
      </w:r>
      <w:r w:rsidR="0008783B" w:rsidRPr="006F3863">
        <w:rPr>
          <w:rFonts w:ascii="Times" w:hAnsi="Times" w:cstheme="minorHAnsi"/>
        </w:rPr>
        <w:t>65°F</w:t>
      </w:r>
      <w:r w:rsidR="001D0B8B">
        <w:rPr>
          <w:rFonts w:ascii="Times" w:hAnsi="Times" w:cstheme="minorHAnsi"/>
        </w:rPr>
        <w:t>)</w:t>
      </w:r>
      <w:r w:rsidR="0008783B" w:rsidRPr="006F3863">
        <w:rPr>
          <w:rFonts w:ascii="Times" w:hAnsi="Times" w:cstheme="minorHAnsi"/>
        </w:rPr>
        <w:t xml:space="preserve">, with </w:t>
      </w:r>
      <w:r w:rsidR="008D419B" w:rsidRPr="006F3863">
        <w:rPr>
          <w:rFonts w:ascii="Times" w:hAnsi="Times" w:cstheme="minorHAnsi"/>
        </w:rPr>
        <w:t xml:space="preserve">upward </w:t>
      </w:r>
      <w:r w:rsidR="0008783B" w:rsidRPr="006F3863">
        <w:rPr>
          <w:rFonts w:ascii="Times" w:hAnsi="Times" w:cstheme="minorHAnsi"/>
        </w:rPr>
        <w:t>d</w:t>
      </w:r>
      <w:r w:rsidR="00CD0CE0" w:rsidRPr="006F3863">
        <w:rPr>
          <w:rFonts w:ascii="Times" w:hAnsi="Times" w:cstheme="minorHAnsi"/>
        </w:rPr>
        <w:t xml:space="preserve">aytime temperature fluctuated minimally, with a cooling </w:t>
      </w:r>
      <w:proofErr w:type="gramStart"/>
      <w:r w:rsidR="00CD0CE0" w:rsidRPr="006F3863">
        <w:rPr>
          <w:rFonts w:ascii="Times" w:hAnsi="Times" w:cstheme="minorHAnsi"/>
        </w:rPr>
        <w:t>set-point</w:t>
      </w:r>
      <w:proofErr w:type="gramEnd"/>
      <w:r w:rsidR="00CD0CE0" w:rsidRPr="006F3863">
        <w:rPr>
          <w:rFonts w:ascii="Times" w:hAnsi="Times" w:cstheme="minorHAnsi"/>
        </w:rPr>
        <w:t xml:space="preserve"> at 24°C</w:t>
      </w:r>
      <w:r w:rsidR="00EA6B1F" w:rsidRPr="006F3863">
        <w:rPr>
          <w:rFonts w:ascii="Times" w:hAnsi="Times" w:cstheme="minorHAnsi"/>
        </w:rPr>
        <w:t xml:space="preserve"> </w:t>
      </w:r>
      <w:r w:rsidR="00CD0CE0" w:rsidRPr="006F3863">
        <w:rPr>
          <w:rFonts w:ascii="Times" w:hAnsi="Times" w:cstheme="minorHAnsi"/>
        </w:rPr>
        <w:t>(</w:t>
      </w:r>
      <w:r w:rsidR="00EA6B1F" w:rsidRPr="006F3863">
        <w:rPr>
          <w:rFonts w:ascii="Times" w:hAnsi="Times" w:cstheme="minorHAnsi"/>
        </w:rPr>
        <w:t>75°F)</w:t>
      </w:r>
      <w:r w:rsidR="0008783B" w:rsidRPr="006F3863">
        <w:rPr>
          <w:rFonts w:ascii="Times" w:hAnsi="Times" w:cstheme="minorHAnsi"/>
        </w:rPr>
        <w:t>. D</w:t>
      </w:r>
      <w:r w:rsidRPr="006F3863">
        <w:rPr>
          <w:rFonts w:ascii="Times" w:hAnsi="Times"/>
        </w:rPr>
        <w:t xml:space="preserve">ue to the </w:t>
      </w:r>
      <w:r w:rsidR="00EA6B1F" w:rsidRPr="006F3863">
        <w:rPr>
          <w:rFonts w:ascii="Times" w:hAnsi="Times"/>
        </w:rPr>
        <w:t xml:space="preserve">similar and </w:t>
      </w:r>
      <w:r w:rsidRPr="006F3863">
        <w:rPr>
          <w:rFonts w:ascii="Times" w:hAnsi="Times"/>
        </w:rPr>
        <w:t>controlled climate parameters in the greenhouses, differences in germination conditions between the 2011 and 2012 growing seasons were assumed to be non-significant for the purposes of this trial.</w:t>
      </w:r>
      <w:r w:rsidR="00FF00E7" w:rsidRPr="006F3863">
        <w:rPr>
          <w:rFonts w:ascii="Times" w:hAnsi="Times"/>
        </w:rPr>
        <w:t xml:space="preserve"> Media was kept moist throughout the germination and growing process.</w:t>
      </w:r>
    </w:p>
    <w:p w14:paraId="0421EA88" w14:textId="6287E5FA" w:rsidR="0008783B" w:rsidRPr="006F3863" w:rsidRDefault="0008783B" w:rsidP="006F3863">
      <w:pPr>
        <w:spacing w:line="240" w:lineRule="auto"/>
        <w:rPr>
          <w:rFonts w:ascii="Times" w:hAnsi="Times"/>
        </w:rPr>
      </w:pPr>
      <w:r w:rsidRPr="006F3863">
        <w:rPr>
          <w:rFonts w:ascii="Times" w:hAnsi="Times"/>
        </w:rPr>
        <w:t>Seeds were sown at various dates ranging from January</w:t>
      </w:r>
      <w:r w:rsidR="001A7400" w:rsidRPr="006F3863">
        <w:rPr>
          <w:rFonts w:ascii="Times" w:hAnsi="Times"/>
        </w:rPr>
        <w:t xml:space="preserve"> 19</w:t>
      </w:r>
      <w:r w:rsidRPr="006F3863">
        <w:rPr>
          <w:rFonts w:ascii="Times" w:hAnsi="Times"/>
        </w:rPr>
        <w:t xml:space="preserve"> to </w:t>
      </w:r>
      <w:r w:rsidR="001A7400" w:rsidRPr="006F3863">
        <w:rPr>
          <w:rFonts w:ascii="Times" w:hAnsi="Times"/>
        </w:rPr>
        <w:t xml:space="preserve">June </w:t>
      </w:r>
      <w:r w:rsidRPr="006F3863">
        <w:rPr>
          <w:rFonts w:ascii="Times" w:hAnsi="Times"/>
        </w:rPr>
        <w:t xml:space="preserve">7 </w:t>
      </w:r>
      <w:r w:rsidR="001A7400" w:rsidRPr="006F3863">
        <w:rPr>
          <w:rFonts w:ascii="Times" w:hAnsi="Times"/>
        </w:rPr>
        <w:t>of 2011 and 2012. F</w:t>
      </w:r>
      <w:r w:rsidRPr="006F3863">
        <w:rPr>
          <w:rFonts w:ascii="Times" w:hAnsi="Times"/>
        </w:rPr>
        <w:t>inal germination c</w:t>
      </w:r>
      <w:r w:rsidR="009E3AF0" w:rsidRPr="006F3863">
        <w:rPr>
          <w:rFonts w:ascii="Times" w:hAnsi="Times"/>
        </w:rPr>
        <w:t>ounts were taken in early July 2011 and late August 2012</w:t>
      </w:r>
      <w:r w:rsidRPr="006F3863">
        <w:rPr>
          <w:rFonts w:ascii="Times" w:hAnsi="Times"/>
        </w:rPr>
        <w:t xml:space="preserve">. </w:t>
      </w:r>
      <w:r w:rsidR="009E3AF0" w:rsidRPr="006F3863">
        <w:rPr>
          <w:rFonts w:ascii="Times" w:hAnsi="Times"/>
        </w:rPr>
        <w:t xml:space="preserve">Containers were randomly selected from within a large </w:t>
      </w:r>
      <w:r w:rsidR="00BD4896" w:rsidRPr="006F3863">
        <w:rPr>
          <w:rFonts w:ascii="Times" w:hAnsi="Times"/>
        </w:rPr>
        <w:t xml:space="preserve">seedlot </w:t>
      </w:r>
      <w:r w:rsidR="00FF00E7" w:rsidRPr="006F3863">
        <w:rPr>
          <w:rFonts w:ascii="Times" w:hAnsi="Times"/>
        </w:rPr>
        <w:t>block, and seeds (germinated or not germinated)</w:t>
      </w:r>
      <w:r w:rsidR="009E3AF0" w:rsidRPr="006F3863">
        <w:rPr>
          <w:rFonts w:ascii="Times" w:hAnsi="Times"/>
        </w:rPr>
        <w:t xml:space="preserve"> counted</w:t>
      </w:r>
      <w:r w:rsidR="00FF00E7" w:rsidRPr="006F3863">
        <w:rPr>
          <w:rFonts w:ascii="Times" w:hAnsi="Times"/>
        </w:rPr>
        <w:t xml:space="preserve"> as individual replicates</w:t>
      </w:r>
      <w:r w:rsidR="009E3AF0" w:rsidRPr="006F3863">
        <w:rPr>
          <w:rFonts w:ascii="Times" w:hAnsi="Times"/>
        </w:rPr>
        <w:t>.</w:t>
      </w:r>
      <w:r w:rsidR="00BD4896" w:rsidRPr="006F3863">
        <w:rPr>
          <w:rFonts w:ascii="Times" w:hAnsi="Times"/>
        </w:rPr>
        <w:t xml:space="preserve"> S</w:t>
      </w:r>
      <w:r w:rsidR="00FF00E7" w:rsidRPr="006F3863">
        <w:rPr>
          <w:rFonts w:ascii="Times" w:hAnsi="Times"/>
        </w:rPr>
        <w:t>eedlot s</w:t>
      </w:r>
      <w:r w:rsidR="00BD4896" w:rsidRPr="006F3863">
        <w:rPr>
          <w:rFonts w:ascii="Times" w:hAnsi="Times"/>
        </w:rPr>
        <w:t xml:space="preserve">ample sizes ranged from </w:t>
      </w:r>
      <w:r w:rsidR="00FF00E7" w:rsidRPr="006F3863">
        <w:rPr>
          <w:rFonts w:ascii="Times" w:hAnsi="Times"/>
        </w:rPr>
        <w:t>7%-100% of seeds sown, with no less than 392 seeds being sampled for any one lot.</w:t>
      </w:r>
    </w:p>
    <w:p w14:paraId="242F1157" w14:textId="77777777" w:rsidR="00FF00E7" w:rsidRPr="006F3863" w:rsidRDefault="00FF00E7" w:rsidP="006F3863">
      <w:pPr>
        <w:spacing w:line="240" w:lineRule="auto"/>
        <w:rPr>
          <w:rFonts w:ascii="Times" w:hAnsi="Times"/>
        </w:rPr>
      </w:pPr>
      <w:r w:rsidRPr="006F3863">
        <w:rPr>
          <w:rFonts w:ascii="Times" w:hAnsi="Times"/>
        </w:rPr>
        <w:t xml:space="preserve">Germination data was compiled </w:t>
      </w:r>
      <w:r w:rsidR="00C73358" w:rsidRPr="006F3863">
        <w:rPr>
          <w:rFonts w:ascii="Times" w:hAnsi="Times"/>
        </w:rPr>
        <w:t>and statistical analyses were performed to assess the influences of potential variables on germination performance.</w:t>
      </w:r>
      <w:r w:rsidR="00CF5D8E" w:rsidRPr="006F3863">
        <w:rPr>
          <w:rFonts w:ascii="Times" w:hAnsi="Times"/>
        </w:rPr>
        <w:t xml:space="preserve"> Only data from seedlings grown in 2012 were used to assess potential influences of seedlot age, sowing date, </w:t>
      </w:r>
      <w:r w:rsidR="00BD7897" w:rsidRPr="006F3863">
        <w:rPr>
          <w:rFonts w:ascii="Times" w:hAnsi="Times"/>
        </w:rPr>
        <w:t xml:space="preserve">and </w:t>
      </w:r>
      <w:r w:rsidR="00CF5D8E" w:rsidRPr="006F3863">
        <w:rPr>
          <w:rFonts w:ascii="Times" w:hAnsi="Times"/>
        </w:rPr>
        <w:t>elevation</w:t>
      </w:r>
      <w:r w:rsidR="00BD7897" w:rsidRPr="006F3863">
        <w:rPr>
          <w:rFonts w:ascii="Times" w:hAnsi="Times"/>
        </w:rPr>
        <w:t xml:space="preserve">. Least squares regression analyses were used to determine the relative influence and importance of each variable on germination performance in each grouping. Germination percentages for each lot were used as data points and tested for </w:t>
      </w:r>
      <w:r w:rsidR="00BC098B" w:rsidRPr="006F3863">
        <w:rPr>
          <w:rFonts w:ascii="Times" w:hAnsi="Times"/>
        </w:rPr>
        <w:t>seed</w:t>
      </w:r>
      <w:r w:rsidR="00BD7897" w:rsidRPr="006F3863">
        <w:rPr>
          <w:rFonts w:ascii="Times" w:hAnsi="Times"/>
        </w:rPr>
        <w:t xml:space="preserve"> zone significance using </w:t>
      </w:r>
      <w:r w:rsidR="00C76459" w:rsidRPr="006F3863">
        <w:rPr>
          <w:rFonts w:ascii="Times" w:hAnsi="Times"/>
        </w:rPr>
        <w:t xml:space="preserve">lot germination averages in an </w:t>
      </w:r>
      <w:r w:rsidR="00BD7897" w:rsidRPr="006F3863">
        <w:rPr>
          <w:rFonts w:ascii="Times" w:hAnsi="Times"/>
        </w:rPr>
        <w:t>analysis of variance.</w:t>
      </w:r>
      <w:r w:rsidR="00CF5D8E" w:rsidRPr="006F3863">
        <w:rPr>
          <w:rFonts w:ascii="Times" w:hAnsi="Times"/>
        </w:rPr>
        <w:t xml:space="preserve"> </w:t>
      </w:r>
      <w:r w:rsidR="00F22AF5" w:rsidRPr="006F3863">
        <w:rPr>
          <w:rFonts w:ascii="Times" w:hAnsi="Times"/>
        </w:rPr>
        <w:t xml:space="preserve">For the four seedlots sown in </w:t>
      </w:r>
      <w:r w:rsidR="0087627C" w:rsidRPr="006F3863">
        <w:rPr>
          <w:rFonts w:ascii="Times" w:hAnsi="Times"/>
        </w:rPr>
        <w:t xml:space="preserve">both </w:t>
      </w:r>
      <w:r w:rsidR="00F22AF5" w:rsidRPr="006F3863">
        <w:rPr>
          <w:rFonts w:ascii="Times" w:hAnsi="Times"/>
        </w:rPr>
        <w:t xml:space="preserve">2011 and 2012, </w:t>
      </w:r>
      <w:r w:rsidR="00EA1EDB" w:rsidRPr="006F3863">
        <w:rPr>
          <w:rFonts w:ascii="Times" w:hAnsi="Times"/>
        </w:rPr>
        <w:t xml:space="preserve">the </w:t>
      </w:r>
      <w:r w:rsidR="00CD0CE0" w:rsidRPr="006F3863">
        <w:rPr>
          <w:rFonts w:ascii="Times" w:hAnsi="Times"/>
        </w:rPr>
        <w:t>Pearson’s chi s</w:t>
      </w:r>
      <w:r w:rsidR="0087627C" w:rsidRPr="006F3863">
        <w:rPr>
          <w:rFonts w:ascii="Times" w:hAnsi="Times"/>
        </w:rPr>
        <w:t>quare test</w:t>
      </w:r>
      <w:r w:rsidR="00EA1EDB" w:rsidRPr="006F3863">
        <w:rPr>
          <w:rFonts w:ascii="Times" w:hAnsi="Times"/>
        </w:rPr>
        <w:t xml:space="preserve"> wa</w:t>
      </w:r>
      <w:r w:rsidR="0087627C" w:rsidRPr="006F3863">
        <w:rPr>
          <w:rFonts w:ascii="Times" w:hAnsi="Times"/>
        </w:rPr>
        <w:t>s</w:t>
      </w:r>
      <w:r w:rsidR="00F22AF5" w:rsidRPr="006F3863">
        <w:rPr>
          <w:rFonts w:ascii="Times" w:hAnsi="Times"/>
        </w:rPr>
        <w:t xml:space="preserve"> used to compare germinative performance and determine significance.</w:t>
      </w:r>
      <w:r w:rsidR="00CD0CE0" w:rsidRPr="006F3863">
        <w:rPr>
          <w:rFonts w:ascii="Times" w:hAnsi="Times"/>
        </w:rPr>
        <w:t xml:space="preserve"> Each seed lot was analyzed using a separate test.</w:t>
      </w:r>
    </w:p>
    <w:p w14:paraId="3CB8F758" w14:textId="77777777" w:rsidR="00A31A0B" w:rsidRPr="006F3863" w:rsidRDefault="00A31A0B" w:rsidP="006F3863">
      <w:pPr>
        <w:spacing w:line="240" w:lineRule="auto"/>
        <w:rPr>
          <w:rFonts w:ascii="Times" w:hAnsi="Times"/>
        </w:rPr>
      </w:pPr>
    </w:p>
    <w:p w14:paraId="1EF5C26A" w14:textId="4B9FBA55" w:rsidR="00CA02DF" w:rsidRPr="006F3863" w:rsidRDefault="0022578C" w:rsidP="006F3863">
      <w:pPr>
        <w:spacing w:line="240" w:lineRule="auto"/>
        <w:rPr>
          <w:rFonts w:ascii="Times" w:hAnsi="Times"/>
        </w:rPr>
      </w:pPr>
      <w:r w:rsidRPr="006F3863">
        <w:rPr>
          <w:rFonts w:ascii="Times" w:hAnsi="Times"/>
        </w:rPr>
        <w:t>&lt;1&gt;Results and Discussion</w:t>
      </w:r>
      <w:r w:rsidR="006F3863">
        <w:rPr>
          <w:rFonts w:ascii="Times" w:hAnsi="Times"/>
        </w:rPr>
        <w:br/>
      </w:r>
      <w:r w:rsidR="00D37001" w:rsidRPr="006F3863">
        <w:rPr>
          <w:rFonts w:ascii="Times" w:hAnsi="Times"/>
        </w:rPr>
        <w:t xml:space="preserve">In the first study, </w:t>
      </w:r>
      <w:r w:rsidR="005E5177" w:rsidRPr="006F3863">
        <w:rPr>
          <w:rFonts w:ascii="Times" w:hAnsi="Times"/>
        </w:rPr>
        <w:t>regression analyses were used to determine the effect of seed source variables</w:t>
      </w:r>
      <w:r w:rsidR="00BD7897" w:rsidRPr="006F3863">
        <w:rPr>
          <w:rFonts w:ascii="Times" w:hAnsi="Times"/>
        </w:rPr>
        <w:t xml:space="preserve"> and so</w:t>
      </w:r>
      <w:r w:rsidR="005E5177" w:rsidRPr="006F3863">
        <w:rPr>
          <w:rFonts w:ascii="Times" w:hAnsi="Times"/>
        </w:rPr>
        <w:t>wing date, rather than traditional significance tests</w:t>
      </w:r>
      <w:r w:rsidR="00D37001" w:rsidRPr="006F3863">
        <w:rPr>
          <w:rFonts w:ascii="Times" w:hAnsi="Times"/>
        </w:rPr>
        <w:t>, due to large sample sizes (n&gt;391 for each lot tested)</w:t>
      </w:r>
      <w:r w:rsidR="005E5177" w:rsidRPr="006F3863">
        <w:rPr>
          <w:rFonts w:ascii="Times" w:hAnsi="Times"/>
        </w:rPr>
        <w:t>.</w:t>
      </w:r>
      <w:r w:rsidR="0055274D">
        <w:rPr>
          <w:rFonts w:ascii="Times" w:hAnsi="Times"/>
        </w:rPr>
        <w:t xml:space="preserve"> </w:t>
      </w:r>
      <w:r w:rsidR="005E5177" w:rsidRPr="006F3863">
        <w:rPr>
          <w:rFonts w:ascii="Times" w:hAnsi="Times"/>
        </w:rPr>
        <w:t>Regression results for seedlot age</w:t>
      </w:r>
      <w:r w:rsidR="00790403" w:rsidRPr="006F3863">
        <w:rPr>
          <w:rFonts w:ascii="Times" w:hAnsi="Times"/>
        </w:rPr>
        <w:t xml:space="preserve"> </w:t>
      </w:r>
      <w:r w:rsidR="00950116" w:rsidRPr="006F3863">
        <w:rPr>
          <w:rFonts w:ascii="Times" w:hAnsi="Times"/>
        </w:rPr>
        <w:t>(R</w:t>
      </w:r>
      <w:r w:rsidR="00950116" w:rsidRPr="006F3863">
        <w:rPr>
          <w:rFonts w:ascii="Times" w:hAnsi="Times" w:cstheme="minorHAnsi"/>
        </w:rPr>
        <w:t>²</w:t>
      </w:r>
      <w:r w:rsidR="00790403" w:rsidRPr="006F3863">
        <w:rPr>
          <w:rFonts w:ascii="Times" w:hAnsi="Times" w:cstheme="minorHAnsi"/>
        </w:rPr>
        <w:t>=0.04</w:t>
      </w:r>
      <w:r w:rsidR="0093594A" w:rsidRPr="006F3863">
        <w:rPr>
          <w:rFonts w:ascii="Times" w:hAnsi="Times" w:cstheme="minorHAnsi"/>
        </w:rPr>
        <w:t>6</w:t>
      </w:r>
      <w:r w:rsidR="00950116" w:rsidRPr="006F3863">
        <w:rPr>
          <w:rFonts w:ascii="Times" w:hAnsi="Times"/>
        </w:rPr>
        <w:t>)</w:t>
      </w:r>
      <w:r w:rsidR="00CA00DB" w:rsidRPr="006F3863">
        <w:rPr>
          <w:rFonts w:ascii="Times" w:hAnsi="Times"/>
        </w:rPr>
        <w:t xml:space="preserve"> (Fig</w:t>
      </w:r>
      <w:r w:rsidR="008A268B">
        <w:rPr>
          <w:rFonts w:ascii="Times" w:hAnsi="Times"/>
        </w:rPr>
        <w:t>ure</w:t>
      </w:r>
      <w:r w:rsidR="00CA00DB" w:rsidRPr="006F3863">
        <w:rPr>
          <w:rFonts w:ascii="Times" w:hAnsi="Times"/>
        </w:rPr>
        <w:t xml:space="preserve"> 1)</w:t>
      </w:r>
      <w:r w:rsidR="005E5177" w:rsidRPr="006F3863">
        <w:rPr>
          <w:rFonts w:ascii="Times" w:hAnsi="Times"/>
        </w:rPr>
        <w:t>, sowing date</w:t>
      </w:r>
      <w:r w:rsidR="00790403" w:rsidRPr="006F3863">
        <w:rPr>
          <w:rFonts w:ascii="Times" w:hAnsi="Times"/>
        </w:rPr>
        <w:t xml:space="preserve"> (R²=0.053)</w:t>
      </w:r>
      <w:r w:rsidR="005E5177" w:rsidRPr="006F3863">
        <w:rPr>
          <w:rFonts w:ascii="Times" w:hAnsi="Times"/>
        </w:rPr>
        <w:t>, and elevation</w:t>
      </w:r>
      <w:r w:rsidR="00BD7897" w:rsidRPr="006F3863">
        <w:rPr>
          <w:rFonts w:ascii="Times" w:hAnsi="Times"/>
        </w:rPr>
        <w:t xml:space="preserve"> </w:t>
      </w:r>
      <w:r w:rsidR="00790403" w:rsidRPr="006F3863">
        <w:rPr>
          <w:rFonts w:ascii="Times" w:hAnsi="Times"/>
        </w:rPr>
        <w:t>(R²=0.10)</w:t>
      </w:r>
      <w:r w:rsidR="005E5177" w:rsidRPr="006F3863">
        <w:rPr>
          <w:rFonts w:ascii="Times" w:hAnsi="Times"/>
        </w:rPr>
        <w:t xml:space="preserve"> </w:t>
      </w:r>
      <w:r w:rsidR="00950116" w:rsidRPr="006F3863">
        <w:rPr>
          <w:rFonts w:ascii="Times" w:hAnsi="Times"/>
        </w:rPr>
        <w:t>indicated that these factors held relatively little influence on germinati</w:t>
      </w:r>
      <w:r w:rsidR="00BD7897" w:rsidRPr="006F3863">
        <w:rPr>
          <w:rFonts w:ascii="Times" w:hAnsi="Times"/>
        </w:rPr>
        <w:t>ve</w:t>
      </w:r>
      <w:r w:rsidR="00950116" w:rsidRPr="006F3863">
        <w:rPr>
          <w:rFonts w:ascii="Times" w:hAnsi="Times"/>
        </w:rPr>
        <w:t xml:space="preserve"> performance in this trial.</w:t>
      </w:r>
      <w:r w:rsidR="00BD7897" w:rsidRPr="006F3863">
        <w:rPr>
          <w:rFonts w:ascii="Times" w:hAnsi="Times"/>
        </w:rPr>
        <w:t xml:space="preserve"> </w:t>
      </w:r>
      <w:r w:rsidR="00BC098B" w:rsidRPr="006F3863">
        <w:rPr>
          <w:rFonts w:ascii="Times" w:hAnsi="Times"/>
        </w:rPr>
        <w:t>Seed</w:t>
      </w:r>
      <w:r w:rsidR="00BD7897" w:rsidRPr="006F3863">
        <w:rPr>
          <w:rFonts w:ascii="Times" w:hAnsi="Times"/>
        </w:rPr>
        <w:t xml:space="preserve"> zone did not show a significant influence on germination either (</w:t>
      </w:r>
      <w:r w:rsidR="00BD7897" w:rsidRPr="006F3863">
        <w:rPr>
          <w:rFonts w:ascii="Times" w:hAnsi="Times"/>
          <w:i/>
        </w:rPr>
        <w:t xml:space="preserve">p </w:t>
      </w:r>
      <w:r w:rsidR="00BD7897" w:rsidRPr="006F3863">
        <w:rPr>
          <w:rFonts w:ascii="Times" w:hAnsi="Times"/>
        </w:rPr>
        <w:t xml:space="preserve">=0.73). </w:t>
      </w:r>
      <w:r w:rsidR="00D37001" w:rsidRPr="006F3863">
        <w:rPr>
          <w:rFonts w:ascii="Times" w:hAnsi="Times"/>
        </w:rPr>
        <w:t>In the second study,</w:t>
      </w:r>
      <w:r w:rsidR="00C76459" w:rsidRPr="006F3863">
        <w:rPr>
          <w:rFonts w:ascii="Times" w:hAnsi="Times"/>
        </w:rPr>
        <w:t xml:space="preserve"> the results of the a Pearson’s chi s</w:t>
      </w:r>
      <w:r w:rsidR="00912737" w:rsidRPr="006F3863">
        <w:rPr>
          <w:rFonts w:ascii="Times" w:hAnsi="Times"/>
        </w:rPr>
        <w:t xml:space="preserve">quare test indicated significant differences in germination between those seeds cold stratified for 60 days and those cold stratified for 90 days. Each of the four seed lots </w:t>
      </w:r>
      <w:r w:rsidR="00665D16" w:rsidRPr="006F3863">
        <w:rPr>
          <w:rFonts w:ascii="Times" w:hAnsi="Times"/>
        </w:rPr>
        <w:t>tested</w:t>
      </w:r>
      <w:r w:rsidR="00912737" w:rsidRPr="006F3863">
        <w:rPr>
          <w:rFonts w:ascii="Times" w:hAnsi="Times"/>
        </w:rPr>
        <w:t xml:space="preserve"> showed significantly increased germination when subjected to the longer stratification regime</w:t>
      </w:r>
      <w:r w:rsidR="00665D16" w:rsidRPr="006F3863">
        <w:rPr>
          <w:rFonts w:ascii="Times" w:hAnsi="Times"/>
        </w:rPr>
        <w:t>, with germination more than doubling in two of the lots</w:t>
      </w:r>
      <w:r w:rsidR="00912737" w:rsidRPr="006F3863">
        <w:rPr>
          <w:rFonts w:ascii="Times" w:hAnsi="Times"/>
        </w:rPr>
        <w:t xml:space="preserve"> (Fig</w:t>
      </w:r>
      <w:r w:rsidR="008F4281">
        <w:rPr>
          <w:rFonts w:ascii="Times" w:hAnsi="Times"/>
        </w:rPr>
        <w:t>ure</w:t>
      </w:r>
      <w:r w:rsidR="00912737" w:rsidRPr="006F3863">
        <w:rPr>
          <w:rFonts w:ascii="Times" w:hAnsi="Times"/>
        </w:rPr>
        <w:t xml:space="preserve"> </w:t>
      </w:r>
      <w:r w:rsidR="00CA00DB" w:rsidRPr="006F3863">
        <w:rPr>
          <w:rFonts w:ascii="Times" w:hAnsi="Times"/>
        </w:rPr>
        <w:t>2</w:t>
      </w:r>
      <w:r w:rsidR="00912737" w:rsidRPr="006F3863">
        <w:rPr>
          <w:rFonts w:ascii="Times" w:hAnsi="Times"/>
        </w:rPr>
        <w:t>)</w:t>
      </w:r>
      <w:r w:rsidR="00665D16" w:rsidRPr="006F3863">
        <w:rPr>
          <w:rFonts w:ascii="Times" w:hAnsi="Times"/>
        </w:rPr>
        <w:t>.</w:t>
      </w:r>
    </w:p>
    <w:p w14:paraId="55300F02" w14:textId="50DAF76E" w:rsidR="00853117" w:rsidRPr="006F3863" w:rsidRDefault="00B92988" w:rsidP="006F3863">
      <w:pPr>
        <w:spacing w:line="240" w:lineRule="auto"/>
        <w:rPr>
          <w:rFonts w:ascii="Times" w:hAnsi="Times"/>
        </w:rPr>
      </w:pPr>
      <w:r w:rsidRPr="006F3863">
        <w:rPr>
          <w:rFonts w:ascii="Times" w:hAnsi="Times"/>
        </w:rPr>
        <w:t xml:space="preserve">It is to be expected that differences in seed collections </w:t>
      </w:r>
      <w:r w:rsidR="00853117" w:rsidRPr="006F3863">
        <w:rPr>
          <w:rFonts w:ascii="Times" w:hAnsi="Times"/>
        </w:rPr>
        <w:t>result in differing germination rates among seedlots. Seed cleaning, handling, storage condition, and storage longevity also influence germinative capacity post-collection (</w:t>
      </w:r>
      <w:r w:rsidR="004D7745" w:rsidRPr="006F3863">
        <w:rPr>
          <w:rFonts w:ascii="Times" w:hAnsi="Times"/>
        </w:rPr>
        <w:t xml:space="preserve">Tomback </w:t>
      </w:r>
      <w:r w:rsidR="0055274D">
        <w:rPr>
          <w:rFonts w:ascii="Times" w:hAnsi="Times"/>
        </w:rPr>
        <w:t>and others,</w:t>
      </w:r>
      <w:r w:rsidR="004D7745" w:rsidRPr="006F3863">
        <w:rPr>
          <w:rFonts w:ascii="Times" w:hAnsi="Times"/>
        </w:rPr>
        <w:t xml:space="preserve"> 2001)</w:t>
      </w:r>
      <w:r w:rsidR="00853117" w:rsidRPr="006F3863">
        <w:rPr>
          <w:rFonts w:ascii="Times" w:hAnsi="Times"/>
        </w:rPr>
        <w:t>. To what degree variations in collections and seedlot age influence germination in whitebark pine seed has yet to be determined.</w:t>
      </w:r>
      <w:r w:rsidR="0055274D">
        <w:rPr>
          <w:rFonts w:ascii="Times" w:hAnsi="Times"/>
        </w:rPr>
        <w:t xml:space="preserve"> </w:t>
      </w:r>
      <w:r w:rsidR="00853117" w:rsidRPr="006F3863">
        <w:rPr>
          <w:rFonts w:ascii="Times" w:hAnsi="Times"/>
        </w:rPr>
        <w:t xml:space="preserve">From a nursery operational standpoint, these factors are only important if they significantly influence germination rates at </w:t>
      </w:r>
      <w:r w:rsidR="00A5228F" w:rsidRPr="006F3863">
        <w:rPr>
          <w:rFonts w:ascii="Times" w:hAnsi="Times"/>
        </w:rPr>
        <w:t xml:space="preserve">the </w:t>
      </w:r>
      <w:r w:rsidR="00853117" w:rsidRPr="006F3863">
        <w:rPr>
          <w:rFonts w:ascii="Times" w:hAnsi="Times"/>
        </w:rPr>
        <w:t xml:space="preserve">time of seedling production. For the seedlots used in the first study of this trial, none of the source related variables proved to have a strong determining influence on germination. </w:t>
      </w:r>
      <w:r w:rsidR="008D1D9D" w:rsidRPr="006F3863">
        <w:rPr>
          <w:rFonts w:ascii="Times" w:hAnsi="Times"/>
        </w:rPr>
        <w:t xml:space="preserve">Based on this observation, seed: seedling ratios for whitebark pine are not likely be adjusted to accommodate small influences on germination arising from differences in source elevation or </w:t>
      </w:r>
      <w:r w:rsidR="00BC098B" w:rsidRPr="006F3863">
        <w:rPr>
          <w:rFonts w:ascii="Times" w:hAnsi="Times"/>
        </w:rPr>
        <w:t>seed</w:t>
      </w:r>
      <w:r w:rsidR="008D1D9D" w:rsidRPr="006F3863">
        <w:rPr>
          <w:rFonts w:ascii="Times" w:hAnsi="Times"/>
        </w:rPr>
        <w:t xml:space="preserve"> zone.</w:t>
      </w:r>
    </w:p>
    <w:p w14:paraId="2FBCA9E7" w14:textId="77777777" w:rsidR="008D1D9D" w:rsidRPr="006F3863" w:rsidRDefault="008D1D9D" w:rsidP="006F3863">
      <w:pPr>
        <w:spacing w:line="240" w:lineRule="auto"/>
        <w:rPr>
          <w:rFonts w:ascii="Times" w:hAnsi="Times"/>
        </w:rPr>
      </w:pPr>
      <w:r w:rsidRPr="006F3863">
        <w:rPr>
          <w:rFonts w:ascii="Times" w:hAnsi="Times"/>
        </w:rPr>
        <w:t>Germination is directly correlated to sowing date in an ou</w:t>
      </w:r>
      <w:r w:rsidR="00DB6F81" w:rsidRPr="006F3863">
        <w:rPr>
          <w:rFonts w:ascii="Times" w:hAnsi="Times"/>
        </w:rPr>
        <w:t>tdoor growing facility due to changing</w:t>
      </w:r>
      <w:r w:rsidRPr="006F3863">
        <w:rPr>
          <w:rFonts w:ascii="Times" w:hAnsi="Times"/>
        </w:rPr>
        <w:t xml:space="preserve"> environmental conditions. However, in a</w:t>
      </w:r>
      <w:r w:rsidR="00CA00DB" w:rsidRPr="006F3863">
        <w:rPr>
          <w:rFonts w:ascii="Times" w:hAnsi="Times"/>
        </w:rPr>
        <w:t xml:space="preserve"> </w:t>
      </w:r>
      <w:r w:rsidRPr="006F3863">
        <w:rPr>
          <w:rFonts w:ascii="Times" w:hAnsi="Times"/>
        </w:rPr>
        <w:t xml:space="preserve">greenhouse environment with </w:t>
      </w:r>
      <w:r w:rsidR="00CA00DB" w:rsidRPr="006F3863">
        <w:rPr>
          <w:rFonts w:ascii="Times" w:hAnsi="Times"/>
        </w:rPr>
        <w:t xml:space="preserve">artificially controlled </w:t>
      </w:r>
      <w:r w:rsidRPr="006F3863">
        <w:rPr>
          <w:rFonts w:ascii="Times" w:hAnsi="Times"/>
        </w:rPr>
        <w:t xml:space="preserve">light, moisture, and temperature, sowing date should </w:t>
      </w:r>
      <w:r w:rsidR="00CA00DB" w:rsidRPr="006F3863">
        <w:rPr>
          <w:rFonts w:ascii="Times" w:hAnsi="Times"/>
        </w:rPr>
        <w:t>not</w:t>
      </w:r>
      <w:r w:rsidRPr="006F3863">
        <w:rPr>
          <w:rFonts w:ascii="Times" w:hAnsi="Times"/>
        </w:rPr>
        <w:t xml:space="preserve"> influence germinati</w:t>
      </w:r>
      <w:r w:rsidR="00CA00DB" w:rsidRPr="006F3863">
        <w:rPr>
          <w:rFonts w:ascii="Times" w:hAnsi="Times"/>
        </w:rPr>
        <w:t>on</w:t>
      </w:r>
      <w:r w:rsidRPr="006F3863">
        <w:rPr>
          <w:rFonts w:ascii="Times" w:hAnsi="Times"/>
        </w:rPr>
        <w:t xml:space="preserve">. This </w:t>
      </w:r>
      <w:r w:rsidR="000349D4" w:rsidRPr="006F3863">
        <w:rPr>
          <w:rFonts w:ascii="Times" w:hAnsi="Times"/>
        </w:rPr>
        <w:t>proved to be true in our trial. Of more importance is considering the time required to produce a containerized whitebark seedling, even under optimal growing conditions, and adjusting the planting date accordingly.</w:t>
      </w:r>
    </w:p>
    <w:p w14:paraId="73CEC527" w14:textId="5C23D146" w:rsidR="00665D16" w:rsidRPr="006F3863" w:rsidRDefault="000349D4" w:rsidP="006F3863">
      <w:pPr>
        <w:spacing w:line="240" w:lineRule="auto"/>
        <w:rPr>
          <w:rFonts w:ascii="Times" w:hAnsi="Times"/>
        </w:rPr>
      </w:pPr>
      <w:r w:rsidRPr="006F3863">
        <w:rPr>
          <w:rFonts w:ascii="Times" w:hAnsi="Times"/>
        </w:rPr>
        <w:t xml:space="preserve">All conifer seed has a limited </w:t>
      </w:r>
      <w:proofErr w:type="gramStart"/>
      <w:r w:rsidRPr="006F3863">
        <w:rPr>
          <w:rFonts w:ascii="Times" w:hAnsi="Times"/>
        </w:rPr>
        <w:t>shelf-life</w:t>
      </w:r>
      <w:proofErr w:type="gramEnd"/>
      <w:r w:rsidRPr="006F3863">
        <w:rPr>
          <w:rFonts w:ascii="Times" w:hAnsi="Times"/>
        </w:rPr>
        <w:t>, although it varies considerably from specie</w:t>
      </w:r>
      <w:r w:rsidR="004D7745" w:rsidRPr="006F3863">
        <w:rPr>
          <w:rFonts w:ascii="Times" w:hAnsi="Times"/>
        </w:rPr>
        <w:t>s to species. Historically, much of the</w:t>
      </w:r>
      <w:r w:rsidRPr="006F3863">
        <w:rPr>
          <w:rFonts w:ascii="Times" w:hAnsi="Times"/>
        </w:rPr>
        <w:t xml:space="preserve"> whitebark seed at this facility has been sown for seedling production within sev</w:t>
      </w:r>
      <w:r w:rsidR="004D7745" w:rsidRPr="006F3863">
        <w:rPr>
          <w:rFonts w:ascii="Times" w:hAnsi="Times"/>
        </w:rPr>
        <w:t>eral years after collection</w:t>
      </w:r>
      <w:r w:rsidR="00D24CB1">
        <w:rPr>
          <w:rFonts w:ascii="Times" w:hAnsi="Times"/>
        </w:rPr>
        <w:t xml:space="preserve">, </w:t>
      </w:r>
      <w:r w:rsidRPr="006F3863">
        <w:rPr>
          <w:rFonts w:ascii="Times" w:hAnsi="Times"/>
        </w:rPr>
        <w:t>for two reasons.</w:t>
      </w:r>
      <w:r w:rsidR="0055274D">
        <w:rPr>
          <w:rFonts w:ascii="Times" w:hAnsi="Times"/>
        </w:rPr>
        <w:t xml:space="preserve"> </w:t>
      </w:r>
      <w:r w:rsidRPr="006F3863">
        <w:rPr>
          <w:rFonts w:ascii="Times" w:hAnsi="Times"/>
        </w:rPr>
        <w:t xml:space="preserve">First, whitebark seed collections have barely kept pace with seed use for seedling production and banking, which resulted in minimal long-term storage. Second, it has been the </w:t>
      </w:r>
      <w:r w:rsidR="001679B4" w:rsidRPr="006F3863">
        <w:rPr>
          <w:rFonts w:ascii="Times" w:hAnsi="Times"/>
        </w:rPr>
        <w:t xml:space="preserve">experience of personnel </w:t>
      </w:r>
      <w:r w:rsidRPr="006F3863">
        <w:rPr>
          <w:rFonts w:ascii="Times" w:hAnsi="Times"/>
        </w:rPr>
        <w:t>at this facility (</w:t>
      </w:r>
      <w:r w:rsidR="001679B4" w:rsidRPr="006F3863">
        <w:rPr>
          <w:rFonts w:ascii="Times" w:hAnsi="Times"/>
        </w:rPr>
        <w:t xml:space="preserve">Burr </w:t>
      </w:r>
      <w:r w:rsidR="0055274D">
        <w:rPr>
          <w:rFonts w:ascii="Times" w:hAnsi="Times"/>
        </w:rPr>
        <w:t>and others,</w:t>
      </w:r>
      <w:r w:rsidR="001679B4" w:rsidRPr="006F3863">
        <w:rPr>
          <w:rFonts w:ascii="Times" w:hAnsi="Times"/>
        </w:rPr>
        <w:t xml:space="preserve"> 2001</w:t>
      </w:r>
      <w:r w:rsidRPr="006F3863">
        <w:rPr>
          <w:rFonts w:ascii="Times" w:hAnsi="Times"/>
        </w:rPr>
        <w:t>) that whitebark has very limited storage longevity, despite its considerable size and nutrient content.</w:t>
      </w:r>
      <w:r w:rsidR="005C0A2E" w:rsidRPr="006F3863">
        <w:rPr>
          <w:rFonts w:ascii="Times" w:hAnsi="Times"/>
        </w:rPr>
        <w:t xml:space="preserve"> Most clients were encouraged to have their seed sown within 1-5 years of collection, to avoid viability losses in </w:t>
      </w:r>
      <w:proofErr w:type="gramStart"/>
      <w:r w:rsidR="005C0A2E" w:rsidRPr="006F3863">
        <w:rPr>
          <w:rFonts w:ascii="Times" w:hAnsi="Times"/>
        </w:rPr>
        <w:t>cold-storage</w:t>
      </w:r>
      <w:proofErr w:type="gramEnd"/>
      <w:r w:rsidR="005C0A2E" w:rsidRPr="006F3863">
        <w:rPr>
          <w:rFonts w:ascii="Times" w:hAnsi="Times"/>
        </w:rPr>
        <w:t>. However, this assumption arose under older stratification, scarification,</w:t>
      </w:r>
      <w:r w:rsidR="001679B4" w:rsidRPr="006F3863">
        <w:rPr>
          <w:rFonts w:ascii="Times" w:hAnsi="Times"/>
        </w:rPr>
        <w:t xml:space="preserve"> and germination protocols (Burr </w:t>
      </w:r>
      <w:r w:rsidR="0055274D">
        <w:rPr>
          <w:rFonts w:ascii="Times" w:hAnsi="Times"/>
        </w:rPr>
        <w:t>and others,</w:t>
      </w:r>
      <w:r w:rsidR="001679B4" w:rsidRPr="006F3863">
        <w:rPr>
          <w:rFonts w:ascii="Times" w:hAnsi="Times"/>
        </w:rPr>
        <w:t xml:space="preserve"> 2001)</w:t>
      </w:r>
      <w:r w:rsidR="005C0A2E" w:rsidRPr="006F3863">
        <w:rPr>
          <w:rFonts w:ascii="Times" w:hAnsi="Times"/>
        </w:rPr>
        <w:t xml:space="preserve">. Our results </w:t>
      </w:r>
      <w:r w:rsidR="001679B4" w:rsidRPr="006F3863">
        <w:rPr>
          <w:rFonts w:ascii="Times" w:hAnsi="Times"/>
        </w:rPr>
        <w:t>and others (</w:t>
      </w:r>
      <w:proofErr w:type="spellStart"/>
      <w:r w:rsidR="001679B4" w:rsidRPr="006F3863">
        <w:rPr>
          <w:rFonts w:ascii="Times" w:hAnsi="Times"/>
        </w:rPr>
        <w:t>Berdeen</w:t>
      </w:r>
      <w:proofErr w:type="spellEnd"/>
      <w:r w:rsidR="001679B4" w:rsidRPr="006F3863">
        <w:rPr>
          <w:rFonts w:ascii="Times" w:hAnsi="Times"/>
        </w:rPr>
        <w:t xml:space="preserve"> </w:t>
      </w:r>
      <w:r w:rsidR="0055274D">
        <w:rPr>
          <w:rFonts w:ascii="Times" w:hAnsi="Times"/>
        </w:rPr>
        <w:t>and others,</w:t>
      </w:r>
      <w:r w:rsidR="001679B4" w:rsidRPr="006F3863">
        <w:rPr>
          <w:rFonts w:ascii="Times" w:hAnsi="Times"/>
        </w:rPr>
        <w:t xml:space="preserve"> 2007; </w:t>
      </w:r>
      <w:proofErr w:type="spellStart"/>
      <w:r w:rsidR="001679B4" w:rsidRPr="006F3863">
        <w:rPr>
          <w:rFonts w:ascii="Times" w:hAnsi="Times"/>
        </w:rPr>
        <w:t>McCaughney</w:t>
      </w:r>
      <w:proofErr w:type="spellEnd"/>
      <w:r w:rsidR="001679B4" w:rsidRPr="006F3863">
        <w:rPr>
          <w:rFonts w:ascii="Times" w:hAnsi="Times"/>
        </w:rPr>
        <w:t xml:space="preserve"> </w:t>
      </w:r>
      <w:r w:rsidR="0055274D">
        <w:rPr>
          <w:rFonts w:ascii="Times" w:hAnsi="Times"/>
        </w:rPr>
        <w:t>and others,</w:t>
      </w:r>
      <w:r w:rsidR="001679B4" w:rsidRPr="006F3863">
        <w:rPr>
          <w:rFonts w:ascii="Times" w:hAnsi="Times"/>
        </w:rPr>
        <w:t xml:space="preserve"> 1990)</w:t>
      </w:r>
      <w:r w:rsidR="00C31662" w:rsidRPr="006F3863">
        <w:rPr>
          <w:rFonts w:ascii="Times" w:hAnsi="Times"/>
        </w:rPr>
        <w:t xml:space="preserve"> </w:t>
      </w:r>
      <w:r w:rsidR="005C0A2E" w:rsidRPr="006F3863">
        <w:rPr>
          <w:rFonts w:ascii="Times" w:hAnsi="Times"/>
        </w:rPr>
        <w:t xml:space="preserve">indicate that seedlot age plays a much less significant role in reducing germinative capacity than was previously thought. Granted, seedlots held in </w:t>
      </w:r>
      <w:proofErr w:type="gramStart"/>
      <w:r w:rsidR="005C0A2E" w:rsidRPr="006F3863">
        <w:rPr>
          <w:rFonts w:ascii="Times" w:hAnsi="Times"/>
        </w:rPr>
        <w:t>cold-storage</w:t>
      </w:r>
      <w:proofErr w:type="gramEnd"/>
      <w:r w:rsidR="005C0A2E" w:rsidRPr="006F3863">
        <w:rPr>
          <w:rFonts w:ascii="Times" w:hAnsi="Times"/>
        </w:rPr>
        <w:t xml:space="preserve"> necessarily begin to lose viability at some point; and our sample repres</w:t>
      </w:r>
      <w:r w:rsidR="001A7400" w:rsidRPr="006F3863">
        <w:rPr>
          <w:rFonts w:ascii="Times" w:hAnsi="Times"/>
        </w:rPr>
        <w:t>ents primarily young seedlots (&lt;</w:t>
      </w:r>
      <w:r w:rsidR="005C0A2E" w:rsidRPr="006F3863">
        <w:rPr>
          <w:rFonts w:ascii="Times" w:hAnsi="Times"/>
        </w:rPr>
        <w:t>4 years in storage)</w:t>
      </w:r>
      <w:r w:rsidR="00CA00DB" w:rsidRPr="006F3863">
        <w:rPr>
          <w:rFonts w:ascii="Times" w:hAnsi="Times"/>
        </w:rPr>
        <w:t xml:space="preserve"> (Table 1)</w:t>
      </w:r>
      <w:r w:rsidR="005C0A2E" w:rsidRPr="006F3863">
        <w:rPr>
          <w:rFonts w:ascii="Times" w:hAnsi="Times"/>
        </w:rPr>
        <w:t xml:space="preserve">. However, the strong germinative capacity of older seedlots </w:t>
      </w:r>
      <w:r w:rsidR="00CA00DB" w:rsidRPr="006F3863">
        <w:rPr>
          <w:rFonts w:ascii="Times" w:hAnsi="Times"/>
        </w:rPr>
        <w:t xml:space="preserve">in this trial </w:t>
      </w:r>
      <w:r w:rsidR="005C0A2E" w:rsidRPr="006F3863">
        <w:rPr>
          <w:rFonts w:ascii="Times" w:hAnsi="Times"/>
        </w:rPr>
        <w:t>(up to 9 years in storage) (Fig</w:t>
      </w:r>
      <w:r w:rsidR="00D24CB1">
        <w:rPr>
          <w:rFonts w:ascii="Times" w:hAnsi="Times"/>
        </w:rPr>
        <w:t>ure</w:t>
      </w:r>
      <w:r w:rsidR="005C0A2E" w:rsidRPr="006F3863">
        <w:rPr>
          <w:rFonts w:ascii="Times" w:hAnsi="Times"/>
        </w:rPr>
        <w:t xml:space="preserve"> 1), leads us to reconsider </w:t>
      </w:r>
      <w:r w:rsidR="00A5228F" w:rsidRPr="006F3863">
        <w:rPr>
          <w:rFonts w:ascii="Times" w:hAnsi="Times"/>
        </w:rPr>
        <w:t>the role of seedlot age in reducing germination</w:t>
      </w:r>
      <w:r w:rsidR="005C0A2E" w:rsidRPr="006F3863">
        <w:rPr>
          <w:rFonts w:ascii="Times" w:hAnsi="Times"/>
        </w:rPr>
        <w:t>.</w:t>
      </w:r>
      <w:r w:rsidR="00A5228F" w:rsidRPr="006F3863">
        <w:rPr>
          <w:rFonts w:ascii="Times" w:hAnsi="Times"/>
        </w:rPr>
        <w:t xml:space="preserve"> W</w:t>
      </w:r>
      <w:r w:rsidR="00B92988" w:rsidRPr="006F3863">
        <w:rPr>
          <w:rFonts w:ascii="Times" w:hAnsi="Times"/>
        </w:rPr>
        <w:t>hen cleaned to a hi</w:t>
      </w:r>
      <w:r w:rsidR="00A5228F" w:rsidRPr="006F3863">
        <w:rPr>
          <w:rFonts w:ascii="Times" w:hAnsi="Times"/>
        </w:rPr>
        <w:t>gh purity</w:t>
      </w:r>
      <w:r w:rsidR="00B92988" w:rsidRPr="006F3863">
        <w:rPr>
          <w:rFonts w:ascii="Times" w:hAnsi="Times"/>
        </w:rPr>
        <w:t xml:space="preserve"> and percentage of filled seeds, whiteba</w:t>
      </w:r>
      <w:r w:rsidR="00A5228F" w:rsidRPr="006F3863">
        <w:rPr>
          <w:rFonts w:ascii="Times" w:hAnsi="Times"/>
        </w:rPr>
        <w:t>rk seed may have considerable longevity,</w:t>
      </w:r>
      <w:r w:rsidR="00B92988" w:rsidRPr="006F3863">
        <w:rPr>
          <w:rFonts w:ascii="Times" w:hAnsi="Times"/>
        </w:rPr>
        <w:t xml:space="preserve"> </w:t>
      </w:r>
      <w:r w:rsidR="00C31662" w:rsidRPr="006F3863">
        <w:rPr>
          <w:rFonts w:ascii="Times" w:hAnsi="Times"/>
        </w:rPr>
        <w:t>likely</w:t>
      </w:r>
      <w:r w:rsidR="00A5228F" w:rsidRPr="006F3863">
        <w:rPr>
          <w:rFonts w:ascii="Times" w:hAnsi="Times"/>
        </w:rPr>
        <w:t xml:space="preserve"> exceeding</w:t>
      </w:r>
      <w:r w:rsidR="00B92988" w:rsidRPr="006F3863">
        <w:rPr>
          <w:rFonts w:ascii="Times" w:hAnsi="Times"/>
        </w:rPr>
        <w:t xml:space="preserve"> a decade in cold storage</w:t>
      </w:r>
      <w:r w:rsidR="00CA00DB" w:rsidRPr="006F3863">
        <w:rPr>
          <w:rFonts w:ascii="Times" w:hAnsi="Times"/>
        </w:rPr>
        <w:t xml:space="preserve"> without considerable</w:t>
      </w:r>
      <w:r w:rsidR="00C31662" w:rsidRPr="006F3863">
        <w:rPr>
          <w:rFonts w:ascii="Times" w:hAnsi="Times"/>
        </w:rPr>
        <w:t xml:space="preserve"> loss</w:t>
      </w:r>
      <w:r w:rsidR="00CA00DB" w:rsidRPr="006F3863">
        <w:rPr>
          <w:rFonts w:ascii="Times" w:hAnsi="Times"/>
        </w:rPr>
        <w:t xml:space="preserve"> of germinative capacity</w:t>
      </w:r>
      <w:r w:rsidR="00B92988" w:rsidRPr="006F3863">
        <w:rPr>
          <w:rFonts w:ascii="Times" w:hAnsi="Times"/>
        </w:rPr>
        <w:t xml:space="preserve">. </w:t>
      </w:r>
      <w:r w:rsidR="00A5228F" w:rsidRPr="006F3863">
        <w:rPr>
          <w:rFonts w:ascii="Times" w:hAnsi="Times"/>
        </w:rPr>
        <w:t>Furthermore</w:t>
      </w:r>
      <w:r w:rsidR="00B92988" w:rsidRPr="006F3863">
        <w:rPr>
          <w:rFonts w:ascii="Times" w:hAnsi="Times"/>
        </w:rPr>
        <w:t>, empirical observations o</w:t>
      </w:r>
      <w:r w:rsidR="001A7400" w:rsidRPr="006F3863">
        <w:rPr>
          <w:rFonts w:ascii="Times" w:hAnsi="Times"/>
        </w:rPr>
        <w:t>f seedlots being grown at the CD</w:t>
      </w:r>
      <w:r w:rsidR="00B92988" w:rsidRPr="006F3863">
        <w:rPr>
          <w:rFonts w:ascii="Times" w:hAnsi="Times"/>
        </w:rPr>
        <w:t xml:space="preserve">A Nursery </w:t>
      </w:r>
      <w:r w:rsidR="00A5228F" w:rsidRPr="006F3863">
        <w:rPr>
          <w:rFonts w:ascii="Times" w:hAnsi="Times"/>
        </w:rPr>
        <w:t>suggests</w:t>
      </w:r>
      <w:r w:rsidR="00B92988" w:rsidRPr="006F3863">
        <w:rPr>
          <w:rFonts w:ascii="Times" w:hAnsi="Times"/>
        </w:rPr>
        <w:t xml:space="preserve"> an improvement </w:t>
      </w:r>
      <w:r w:rsidR="00A5228F" w:rsidRPr="006F3863">
        <w:rPr>
          <w:rFonts w:ascii="Times" w:hAnsi="Times"/>
        </w:rPr>
        <w:t>in germination rates for</w:t>
      </w:r>
      <w:r w:rsidR="00B92988" w:rsidRPr="006F3863">
        <w:rPr>
          <w:rFonts w:ascii="Times" w:hAnsi="Times"/>
        </w:rPr>
        <w:t xml:space="preserve"> seed</w:t>
      </w:r>
      <w:r w:rsidR="00A5228F" w:rsidRPr="006F3863">
        <w:rPr>
          <w:rFonts w:ascii="Times" w:hAnsi="Times"/>
        </w:rPr>
        <w:t>lots</w:t>
      </w:r>
      <w:r w:rsidR="00B92988" w:rsidRPr="006F3863">
        <w:rPr>
          <w:rFonts w:ascii="Times" w:hAnsi="Times"/>
        </w:rPr>
        <w:t xml:space="preserve"> held in cold storage for at least a year</w:t>
      </w:r>
      <w:r w:rsidR="00CA00DB" w:rsidRPr="006F3863">
        <w:rPr>
          <w:rFonts w:ascii="Times" w:hAnsi="Times"/>
        </w:rPr>
        <w:t xml:space="preserve"> post-collection</w:t>
      </w:r>
      <w:r w:rsidR="00B92988" w:rsidRPr="006F3863">
        <w:rPr>
          <w:rFonts w:ascii="Times" w:hAnsi="Times"/>
        </w:rPr>
        <w:t>.</w:t>
      </w:r>
    </w:p>
    <w:p w14:paraId="4A54CFB6" w14:textId="239CC915" w:rsidR="0093594A" w:rsidRPr="006F3863" w:rsidRDefault="00A5228F" w:rsidP="006F3863">
      <w:pPr>
        <w:spacing w:line="240" w:lineRule="auto"/>
        <w:rPr>
          <w:rFonts w:ascii="Times" w:hAnsi="Times"/>
        </w:rPr>
      </w:pPr>
      <w:r w:rsidRPr="006F3863">
        <w:rPr>
          <w:rFonts w:ascii="Times" w:hAnsi="Times"/>
        </w:rPr>
        <w:t>The second study in this trial revealed the importance of stratification length in obtaining high germination percentages</w:t>
      </w:r>
      <w:r w:rsidR="009C6F9D" w:rsidRPr="006F3863">
        <w:rPr>
          <w:rFonts w:ascii="Times" w:hAnsi="Times"/>
        </w:rPr>
        <w:t xml:space="preserve"> in whitebark</w:t>
      </w:r>
      <w:r w:rsidRPr="006F3863">
        <w:rPr>
          <w:rFonts w:ascii="Times" w:hAnsi="Times"/>
        </w:rPr>
        <w:t xml:space="preserve">. </w:t>
      </w:r>
      <w:r w:rsidR="009C6F9D" w:rsidRPr="006F3863">
        <w:rPr>
          <w:rFonts w:ascii="Times" w:hAnsi="Times"/>
        </w:rPr>
        <w:t xml:space="preserve">Although similar trials have been conducted </w:t>
      </w:r>
      <w:r w:rsidR="00C31662" w:rsidRPr="006F3863">
        <w:rPr>
          <w:rFonts w:ascii="Times" w:hAnsi="Times"/>
        </w:rPr>
        <w:t xml:space="preserve">on a relatively small scale (Riley </w:t>
      </w:r>
      <w:r w:rsidR="0055274D">
        <w:rPr>
          <w:rFonts w:ascii="Times" w:hAnsi="Times"/>
        </w:rPr>
        <w:t>and others,</w:t>
      </w:r>
      <w:r w:rsidR="00C31662" w:rsidRPr="006F3863">
        <w:rPr>
          <w:rFonts w:ascii="Times" w:hAnsi="Times"/>
        </w:rPr>
        <w:t xml:space="preserve"> 2007; Wick </w:t>
      </w:r>
      <w:r w:rsidR="0055274D">
        <w:rPr>
          <w:rFonts w:ascii="Times" w:hAnsi="Times"/>
        </w:rPr>
        <w:t>and others,</w:t>
      </w:r>
      <w:r w:rsidR="00C31662" w:rsidRPr="006F3863">
        <w:rPr>
          <w:rFonts w:ascii="Times" w:hAnsi="Times"/>
        </w:rPr>
        <w:t xml:space="preserve"> 2008</w:t>
      </w:r>
      <w:r w:rsidR="009C6F9D" w:rsidRPr="006F3863">
        <w:rPr>
          <w:rFonts w:ascii="Times" w:hAnsi="Times"/>
        </w:rPr>
        <w:t xml:space="preserve">), </w:t>
      </w:r>
      <w:r w:rsidR="002E2164" w:rsidRPr="006F3863">
        <w:rPr>
          <w:rFonts w:ascii="Times" w:hAnsi="Times"/>
        </w:rPr>
        <w:t xml:space="preserve">these works were research-oriented, and used scarification and germination techniques not practical at an operational </w:t>
      </w:r>
      <w:r w:rsidR="00CA00DB" w:rsidRPr="006F3863">
        <w:rPr>
          <w:rFonts w:ascii="Times" w:hAnsi="Times"/>
        </w:rPr>
        <w:t xml:space="preserve">restoration </w:t>
      </w:r>
      <w:r w:rsidR="002E2164" w:rsidRPr="006F3863">
        <w:rPr>
          <w:rFonts w:ascii="Times" w:hAnsi="Times"/>
        </w:rPr>
        <w:t xml:space="preserve">scale. This </w:t>
      </w:r>
      <w:r w:rsidR="002E2164" w:rsidRPr="006F3863">
        <w:rPr>
          <w:rFonts w:ascii="Times" w:hAnsi="Times"/>
        </w:rPr>
        <w:lastRenderedPageBreak/>
        <w:t xml:space="preserve">combination of </w:t>
      </w:r>
      <w:r w:rsidR="00A0293F" w:rsidRPr="006F3863">
        <w:rPr>
          <w:rFonts w:ascii="Times" w:hAnsi="Times"/>
        </w:rPr>
        <w:t>90</w:t>
      </w:r>
      <w:r w:rsidR="002E2164" w:rsidRPr="006F3863">
        <w:rPr>
          <w:rFonts w:ascii="Times" w:hAnsi="Times"/>
        </w:rPr>
        <w:t xml:space="preserve">-day </w:t>
      </w:r>
      <w:r w:rsidR="00A0293F" w:rsidRPr="006F3863">
        <w:rPr>
          <w:rFonts w:ascii="Times" w:hAnsi="Times"/>
        </w:rPr>
        <w:t xml:space="preserve">cold </w:t>
      </w:r>
      <w:r w:rsidR="002E2164" w:rsidRPr="006F3863">
        <w:rPr>
          <w:rFonts w:ascii="Times" w:hAnsi="Times"/>
        </w:rPr>
        <w:t>stratification and mass scarification resulted in higher and more consistent germination than has been seen before at this facility for operational whitebark crops (</w:t>
      </w:r>
      <w:r w:rsidR="00CA00DB" w:rsidRPr="006F3863">
        <w:rPr>
          <w:rFonts w:ascii="Times" w:hAnsi="Times"/>
        </w:rPr>
        <w:t>unpublished data</w:t>
      </w:r>
      <w:r w:rsidR="002E2164" w:rsidRPr="006F3863">
        <w:rPr>
          <w:rFonts w:ascii="Times" w:hAnsi="Times"/>
        </w:rPr>
        <w:t>).</w:t>
      </w:r>
      <w:r w:rsidR="00A0293F" w:rsidRPr="006F3863">
        <w:rPr>
          <w:rFonts w:ascii="Times" w:hAnsi="Times"/>
        </w:rPr>
        <w:t xml:space="preserve"> Because the two stratification groups were grown in separate years, it is possible that factors beyond those considered here influenced germination. However, as already discussed, greenhouse conditions and scarification regimes were unchanged between the two growing seasons. Theoretically, an additional year in </w:t>
      </w:r>
      <w:proofErr w:type="gramStart"/>
      <w:r w:rsidR="00A0293F" w:rsidRPr="006F3863">
        <w:rPr>
          <w:rFonts w:ascii="Times" w:hAnsi="Times"/>
        </w:rPr>
        <w:t>cold-storage</w:t>
      </w:r>
      <w:proofErr w:type="gramEnd"/>
      <w:r w:rsidR="00A0293F" w:rsidRPr="006F3863">
        <w:rPr>
          <w:rFonts w:ascii="Times" w:hAnsi="Times"/>
        </w:rPr>
        <w:t xml:space="preserve"> would have had no effect or a small negative effect on germinati</w:t>
      </w:r>
      <w:r w:rsidR="000A270D" w:rsidRPr="006F3863">
        <w:rPr>
          <w:rFonts w:ascii="Times" w:hAnsi="Times"/>
        </w:rPr>
        <w:t xml:space="preserve">on, </w:t>
      </w:r>
      <w:r w:rsidR="0093594A" w:rsidRPr="006F3863">
        <w:rPr>
          <w:rFonts w:ascii="Times" w:hAnsi="Times"/>
        </w:rPr>
        <w:t>and because all four of the lots used for the second study were collected in 2009, any storage influence would be shared equally amongst them.</w:t>
      </w:r>
      <w:r w:rsidR="00560905" w:rsidRPr="006F3863">
        <w:rPr>
          <w:rFonts w:ascii="Times" w:hAnsi="Times"/>
        </w:rPr>
        <w:t xml:space="preserve"> </w:t>
      </w:r>
      <w:r w:rsidR="0093594A" w:rsidRPr="006F3863">
        <w:rPr>
          <w:rFonts w:ascii="Times" w:hAnsi="Times"/>
        </w:rPr>
        <w:t xml:space="preserve">These factors fail to explain the significant increase in germination apparent in all four seedlots, which indicates that a 90-day cold stratification is instrumental in obtaining </w:t>
      </w:r>
      <w:r w:rsidR="00CA00DB" w:rsidRPr="006F3863">
        <w:rPr>
          <w:rFonts w:ascii="Times" w:hAnsi="Times"/>
        </w:rPr>
        <w:t>strong</w:t>
      </w:r>
      <w:r w:rsidR="0093594A" w:rsidRPr="006F3863">
        <w:rPr>
          <w:rFonts w:ascii="Times" w:hAnsi="Times"/>
        </w:rPr>
        <w:t xml:space="preserve"> germination for direct-sown, </w:t>
      </w:r>
      <w:r w:rsidR="00C53AD7" w:rsidRPr="006F3863">
        <w:rPr>
          <w:rFonts w:ascii="Times" w:hAnsi="Times"/>
        </w:rPr>
        <w:t>restoration</w:t>
      </w:r>
      <w:r w:rsidR="0093594A" w:rsidRPr="006F3863">
        <w:rPr>
          <w:rFonts w:ascii="Times" w:hAnsi="Times"/>
        </w:rPr>
        <w:t xml:space="preserve">-level whitebark pine </w:t>
      </w:r>
      <w:r w:rsidR="00C53AD7" w:rsidRPr="006F3863">
        <w:rPr>
          <w:rFonts w:ascii="Times" w:hAnsi="Times"/>
        </w:rPr>
        <w:t xml:space="preserve">seedling </w:t>
      </w:r>
      <w:r w:rsidR="0093594A" w:rsidRPr="006F3863">
        <w:rPr>
          <w:rFonts w:ascii="Times" w:hAnsi="Times"/>
        </w:rPr>
        <w:t>production.</w:t>
      </w:r>
    </w:p>
    <w:p w14:paraId="32B14B64" w14:textId="77777777" w:rsidR="00CC6A53" w:rsidRPr="006F3863" w:rsidRDefault="0022578C" w:rsidP="006F3863">
      <w:pPr>
        <w:spacing w:line="240" w:lineRule="auto"/>
        <w:rPr>
          <w:rFonts w:ascii="Times" w:hAnsi="Times"/>
        </w:rPr>
      </w:pPr>
      <w:r w:rsidRPr="006F3863">
        <w:rPr>
          <w:rFonts w:ascii="Times" w:hAnsi="Times"/>
        </w:rPr>
        <w:t>&lt;1&gt;Summary</w:t>
      </w:r>
      <w:r w:rsidR="006F3863">
        <w:rPr>
          <w:rFonts w:ascii="Times" w:hAnsi="Times"/>
        </w:rPr>
        <w:br/>
      </w:r>
      <w:r w:rsidR="00286B11" w:rsidRPr="006F3863">
        <w:rPr>
          <w:rFonts w:ascii="Times" w:hAnsi="Times"/>
        </w:rPr>
        <w:t xml:space="preserve">Whitebark pine seedling production levels continue to rise at the Coeur D’ Alene Nursery, as </w:t>
      </w:r>
      <w:r w:rsidR="00D328A6" w:rsidRPr="006F3863">
        <w:rPr>
          <w:rFonts w:ascii="Times" w:hAnsi="Times"/>
        </w:rPr>
        <w:t xml:space="preserve">forest </w:t>
      </w:r>
      <w:r w:rsidR="00286B11" w:rsidRPr="006F3863">
        <w:rPr>
          <w:rFonts w:ascii="Times" w:hAnsi="Times"/>
        </w:rPr>
        <w:t xml:space="preserve">managers are increasingly in a position to bolster recruitment in compromised stands using disease-resistant seedlings. </w:t>
      </w:r>
      <w:r w:rsidR="00D328A6" w:rsidRPr="006F3863">
        <w:rPr>
          <w:rFonts w:ascii="Times" w:hAnsi="Times"/>
        </w:rPr>
        <w:t>At the production scale being seen now, o</w:t>
      </w:r>
      <w:r w:rsidR="00286B11" w:rsidRPr="006F3863">
        <w:rPr>
          <w:rFonts w:ascii="Times" w:hAnsi="Times"/>
        </w:rPr>
        <w:t>riginal scarification and stratification methods are no</w:t>
      </w:r>
      <w:r w:rsidR="00D328A6" w:rsidRPr="006F3863">
        <w:rPr>
          <w:rFonts w:ascii="Times" w:hAnsi="Times"/>
        </w:rPr>
        <w:t xml:space="preserve"> longer</w:t>
      </w:r>
      <w:r w:rsidR="00286B11" w:rsidRPr="006F3863">
        <w:rPr>
          <w:rFonts w:ascii="Times" w:hAnsi="Times"/>
        </w:rPr>
        <w:t xml:space="preserve"> economically viable</w:t>
      </w:r>
      <w:r w:rsidR="00204762" w:rsidRPr="006F3863">
        <w:rPr>
          <w:rFonts w:ascii="Times" w:hAnsi="Times"/>
        </w:rPr>
        <w:t xml:space="preserve">, and waste of hard-won whitebark seed is not acceptable at these levels. In an effort to maximize germinative capacity without sacrificing production efficiency, </w:t>
      </w:r>
      <w:r w:rsidR="008A102F" w:rsidRPr="006F3863">
        <w:rPr>
          <w:rFonts w:ascii="Times" w:hAnsi="Times"/>
        </w:rPr>
        <w:t>dormancy release factors must be understood and overcome. Given proper seed collection, handling, cleaning, and storage, the results of these two studies indicate that</w:t>
      </w:r>
      <w:r w:rsidR="001A7400" w:rsidRPr="006F3863">
        <w:rPr>
          <w:rFonts w:ascii="Times" w:hAnsi="Times"/>
        </w:rPr>
        <w:t>: 1)</w:t>
      </w:r>
      <w:r w:rsidR="008A102F" w:rsidRPr="006F3863">
        <w:rPr>
          <w:rFonts w:ascii="Times" w:hAnsi="Times"/>
        </w:rPr>
        <w:t xml:space="preserve"> </w:t>
      </w:r>
      <w:r w:rsidR="00CA00DB" w:rsidRPr="006F3863">
        <w:rPr>
          <w:rFonts w:ascii="Times" w:hAnsi="Times"/>
        </w:rPr>
        <w:t xml:space="preserve">90-day cold stratification results in significantly increased germination over 60-day treatment; </w:t>
      </w:r>
      <w:r w:rsidR="008A102F" w:rsidRPr="006F3863">
        <w:rPr>
          <w:rFonts w:ascii="Times" w:hAnsi="Times"/>
        </w:rPr>
        <w:t>2</w:t>
      </w:r>
      <w:r w:rsidR="001A7400" w:rsidRPr="006F3863">
        <w:rPr>
          <w:rFonts w:ascii="Times" w:hAnsi="Times"/>
        </w:rPr>
        <w:t>)</w:t>
      </w:r>
      <w:r w:rsidR="008A102F" w:rsidRPr="006F3863">
        <w:rPr>
          <w:rFonts w:ascii="Times" w:hAnsi="Times"/>
        </w:rPr>
        <w:t xml:space="preserve"> within the first decade of storage, seedlot age may not play as crucial a role in reducing germinati</w:t>
      </w:r>
      <w:r w:rsidR="00D328A6" w:rsidRPr="006F3863">
        <w:rPr>
          <w:rFonts w:ascii="Times" w:hAnsi="Times"/>
        </w:rPr>
        <w:t>ve capacity as was previously t</w:t>
      </w:r>
      <w:r w:rsidR="001A7400" w:rsidRPr="006F3863">
        <w:rPr>
          <w:rFonts w:ascii="Times" w:hAnsi="Times"/>
        </w:rPr>
        <w:t>hought; and 3)</w:t>
      </w:r>
      <w:r w:rsidR="00CA00DB" w:rsidRPr="006F3863">
        <w:rPr>
          <w:rFonts w:ascii="Times" w:hAnsi="Times"/>
        </w:rPr>
        <w:t xml:space="preserve"> </w:t>
      </w:r>
      <w:r w:rsidR="004B0C11" w:rsidRPr="006F3863">
        <w:rPr>
          <w:rFonts w:ascii="Times" w:hAnsi="Times"/>
        </w:rPr>
        <w:t>seedlot source geography may not have a strong enough influence on germinative capacity to merit altering seed use calculations or culture regimes for greenhouse production.</w:t>
      </w:r>
    </w:p>
    <w:p w14:paraId="56A5FFBD" w14:textId="5CEAFFFA" w:rsidR="00335D35" w:rsidRPr="006F3863" w:rsidRDefault="00D328A6" w:rsidP="006F3863">
      <w:pPr>
        <w:spacing w:line="240" w:lineRule="auto"/>
        <w:rPr>
          <w:rFonts w:ascii="Times" w:hAnsi="Times"/>
        </w:rPr>
      </w:pPr>
      <w:r w:rsidRPr="006F3863">
        <w:rPr>
          <w:rFonts w:ascii="Times" w:hAnsi="Times"/>
        </w:rPr>
        <w:t>Although cold stratification lengths in excess of 90 days become logistically burdensome at this facility, further study should be conducted to see if longer cold stratification periods result in higher germination rates.</w:t>
      </w:r>
      <w:r w:rsidR="00CC6A53" w:rsidRPr="006F3863">
        <w:rPr>
          <w:rFonts w:ascii="Times" w:hAnsi="Times"/>
        </w:rPr>
        <w:t xml:space="preserve"> Additionally, more research will be needed to better understand true whitebark seed longevity in </w:t>
      </w:r>
      <w:proofErr w:type="gramStart"/>
      <w:r w:rsidR="00CC6A53" w:rsidRPr="006F3863">
        <w:rPr>
          <w:rFonts w:ascii="Times" w:hAnsi="Times"/>
        </w:rPr>
        <w:t>cold-storage</w:t>
      </w:r>
      <w:proofErr w:type="gramEnd"/>
      <w:r w:rsidR="00CC6A53" w:rsidRPr="006F3863">
        <w:rPr>
          <w:rFonts w:ascii="Times" w:hAnsi="Times"/>
        </w:rPr>
        <w:t xml:space="preserve">, </w:t>
      </w:r>
      <w:r w:rsidR="00C00380" w:rsidRPr="006F3863">
        <w:rPr>
          <w:rFonts w:ascii="Times" w:hAnsi="Times"/>
        </w:rPr>
        <w:t>especially with regards to variant embryo maturity (Tillman-</w:t>
      </w:r>
      <w:proofErr w:type="spellStart"/>
      <w:r w:rsidR="00C00380" w:rsidRPr="006F3863">
        <w:rPr>
          <w:rFonts w:ascii="Times" w:hAnsi="Times"/>
        </w:rPr>
        <w:t>Sutela</w:t>
      </w:r>
      <w:proofErr w:type="spellEnd"/>
      <w:r w:rsidR="00C00380" w:rsidRPr="006F3863">
        <w:rPr>
          <w:rFonts w:ascii="Times" w:hAnsi="Times"/>
        </w:rPr>
        <w:t xml:space="preserve"> </w:t>
      </w:r>
      <w:r w:rsidR="0055274D">
        <w:rPr>
          <w:rFonts w:ascii="Times" w:hAnsi="Times"/>
        </w:rPr>
        <w:t>and others,</w:t>
      </w:r>
      <w:r w:rsidR="00C00380" w:rsidRPr="006F3863">
        <w:rPr>
          <w:rFonts w:ascii="Times" w:hAnsi="Times"/>
        </w:rPr>
        <w:t xml:space="preserve"> 2008), </w:t>
      </w:r>
      <w:r w:rsidR="00CC6A53" w:rsidRPr="006F3863">
        <w:rPr>
          <w:rFonts w:ascii="Times" w:hAnsi="Times"/>
        </w:rPr>
        <w:t xml:space="preserve">and the </w:t>
      </w:r>
      <w:r w:rsidR="007C78C8" w:rsidRPr="006F3863">
        <w:rPr>
          <w:rFonts w:ascii="Times" w:hAnsi="Times"/>
        </w:rPr>
        <w:t xml:space="preserve">potential positive </w:t>
      </w:r>
      <w:r w:rsidR="00CC6A53" w:rsidRPr="006F3863">
        <w:rPr>
          <w:rFonts w:ascii="Times" w:hAnsi="Times"/>
        </w:rPr>
        <w:t xml:space="preserve">effect of </w:t>
      </w:r>
      <w:r w:rsidR="007C78C8" w:rsidRPr="006F3863">
        <w:rPr>
          <w:rFonts w:ascii="Times" w:hAnsi="Times"/>
        </w:rPr>
        <w:t xml:space="preserve">storing seed for at least a year post-collection. Seed managers and horticulturists at the Coeur D’ Alene Nursery will use this data and future studies to increase whitebark seed use and production efficiency, in </w:t>
      </w:r>
      <w:r w:rsidR="00C00380" w:rsidRPr="006F3863">
        <w:rPr>
          <w:rFonts w:ascii="Times" w:hAnsi="Times"/>
        </w:rPr>
        <w:t xml:space="preserve">an effort </w:t>
      </w:r>
      <w:r w:rsidR="007C78C8" w:rsidRPr="006F3863">
        <w:rPr>
          <w:rFonts w:ascii="Times" w:hAnsi="Times"/>
        </w:rPr>
        <w:t xml:space="preserve">to </w:t>
      </w:r>
      <w:r w:rsidR="00810C8C" w:rsidRPr="006F3863">
        <w:rPr>
          <w:rFonts w:ascii="Times" w:hAnsi="Times"/>
        </w:rPr>
        <w:t xml:space="preserve">better </w:t>
      </w:r>
      <w:r w:rsidR="007C78C8" w:rsidRPr="006F3863">
        <w:rPr>
          <w:rFonts w:ascii="Times" w:hAnsi="Times"/>
        </w:rPr>
        <w:t>contribut</w:t>
      </w:r>
      <w:r w:rsidR="00810C8C" w:rsidRPr="006F3863">
        <w:rPr>
          <w:rFonts w:ascii="Times" w:hAnsi="Times"/>
        </w:rPr>
        <w:t>e</w:t>
      </w:r>
      <w:r w:rsidR="007C78C8" w:rsidRPr="006F3863">
        <w:rPr>
          <w:rFonts w:ascii="Times" w:hAnsi="Times"/>
        </w:rPr>
        <w:t xml:space="preserve"> to </w:t>
      </w:r>
      <w:r w:rsidR="00810C8C" w:rsidRPr="006F3863">
        <w:rPr>
          <w:rFonts w:ascii="Times" w:hAnsi="Times"/>
        </w:rPr>
        <w:t>the restoration of this high-elevation cornerstone species.</w:t>
      </w:r>
    </w:p>
    <w:p w14:paraId="3950C948" w14:textId="77777777" w:rsidR="00335D35" w:rsidRPr="006F3863" w:rsidRDefault="00335D35" w:rsidP="006F3863">
      <w:pPr>
        <w:spacing w:line="240" w:lineRule="auto"/>
        <w:rPr>
          <w:rFonts w:ascii="Times" w:hAnsi="Times"/>
        </w:rPr>
      </w:pPr>
      <w:r w:rsidRPr="006F3863">
        <w:rPr>
          <w:rFonts w:ascii="Times" w:hAnsi="Times"/>
        </w:rPr>
        <w:br w:type="page"/>
      </w:r>
    </w:p>
    <w:p w14:paraId="6B469DE7" w14:textId="77777777" w:rsidR="00C725E4" w:rsidRPr="006F3863" w:rsidRDefault="00C725E4" w:rsidP="006F3863">
      <w:pPr>
        <w:spacing w:line="240" w:lineRule="auto"/>
        <w:rPr>
          <w:rFonts w:ascii="Times" w:hAnsi="Times"/>
        </w:rPr>
      </w:pPr>
    </w:p>
    <w:p w14:paraId="0F24A374" w14:textId="77777777" w:rsidR="00CC6A53" w:rsidRPr="006F3863" w:rsidRDefault="00CC6A53" w:rsidP="006F3863">
      <w:pPr>
        <w:spacing w:line="240" w:lineRule="auto"/>
        <w:rPr>
          <w:rFonts w:ascii="Times" w:hAnsi="Times"/>
        </w:rPr>
      </w:pPr>
    </w:p>
    <w:p w14:paraId="0B9F486D" w14:textId="77777777" w:rsidR="005A45E0" w:rsidRPr="006F3863" w:rsidRDefault="00CA02DF" w:rsidP="006F3863">
      <w:pPr>
        <w:spacing w:line="240" w:lineRule="auto"/>
        <w:rPr>
          <w:rFonts w:ascii="Times" w:hAnsi="Times"/>
        </w:rPr>
      </w:pPr>
      <w:proofErr w:type="gramStart"/>
      <w:r w:rsidRPr="006F3863">
        <w:rPr>
          <w:rFonts w:ascii="Times" w:hAnsi="Times"/>
        </w:rPr>
        <w:t>&lt;1&gt;References</w:t>
      </w:r>
      <w:r w:rsidR="006F3863">
        <w:rPr>
          <w:rFonts w:ascii="Times" w:hAnsi="Times"/>
        </w:rPr>
        <w:br/>
      </w:r>
      <w:proofErr w:type="spellStart"/>
      <w:r w:rsidR="005A45E0" w:rsidRPr="006F3863">
        <w:rPr>
          <w:rFonts w:ascii="Times" w:hAnsi="Times"/>
        </w:rPr>
        <w:t>Berdeen</w:t>
      </w:r>
      <w:proofErr w:type="spellEnd"/>
      <w:r w:rsidR="005A45E0" w:rsidRPr="006F3863">
        <w:rPr>
          <w:rFonts w:ascii="Times" w:hAnsi="Times"/>
        </w:rPr>
        <w:t xml:space="preserve"> J, Riley L, </w:t>
      </w:r>
      <w:proofErr w:type="spellStart"/>
      <w:r w:rsidR="005A45E0" w:rsidRPr="006F3863">
        <w:rPr>
          <w:rFonts w:ascii="Times" w:hAnsi="Times"/>
        </w:rPr>
        <w:t>Sniezko</w:t>
      </w:r>
      <w:proofErr w:type="spellEnd"/>
      <w:r w:rsidR="005A45E0" w:rsidRPr="006F3863">
        <w:rPr>
          <w:rFonts w:ascii="Times" w:hAnsi="Times"/>
        </w:rPr>
        <w:t xml:space="preserve"> R. 2007.</w:t>
      </w:r>
      <w:proofErr w:type="gramEnd"/>
      <w:r w:rsidR="005A45E0" w:rsidRPr="006F3863">
        <w:rPr>
          <w:rFonts w:ascii="Times" w:hAnsi="Times"/>
        </w:rPr>
        <w:t xml:space="preserve"> Whitebark pine seed storage and germination: A follow-up </w:t>
      </w:r>
      <w:proofErr w:type="gramStart"/>
      <w:r w:rsidR="005A45E0" w:rsidRPr="006F3863">
        <w:rPr>
          <w:rFonts w:ascii="Times" w:hAnsi="Times"/>
        </w:rPr>
        <w:t>look</w:t>
      </w:r>
      <w:proofErr w:type="gramEnd"/>
      <w:r w:rsidR="005A45E0" w:rsidRPr="006F3863">
        <w:rPr>
          <w:rFonts w:ascii="Times" w:hAnsi="Times"/>
        </w:rPr>
        <w:t xml:space="preserve"> at seedlots from Oregon and Washington. In: </w:t>
      </w:r>
      <w:proofErr w:type="spellStart"/>
      <w:r w:rsidR="005A45E0" w:rsidRPr="006F3863">
        <w:rPr>
          <w:rFonts w:ascii="Times" w:hAnsi="Times"/>
        </w:rPr>
        <w:t>Goheen</w:t>
      </w:r>
      <w:proofErr w:type="spellEnd"/>
      <w:r w:rsidR="005A45E0" w:rsidRPr="006F3863">
        <w:rPr>
          <w:rFonts w:ascii="Times" w:hAnsi="Times"/>
        </w:rPr>
        <w:t xml:space="preserve"> E, and </w:t>
      </w:r>
      <w:proofErr w:type="spellStart"/>
      <w:r w:rsidR="005A45E0" w:rsidRPr="006F3863">
        <w:rPr>
          <w:rFonts w:ascii="Times" w:hAnsi="Times"/>
        </w:rPr>
        <w:t>Sniezko</w:t>
      </w:r>
      <w:proofErr w:type="spellEnd"/>
      <w:r w:rsidR="005A45E0" w:rsidRPr="006F3863">
        <w:rPr>
          <w:rFonts w:ascii="Times" w:hAnsi="Times"/>
        </w:rPr>
        <w:t xml:space="preserve"> R, technical coordinators. Proceedings – Whitebark Pine: A Pacific Coast Perspective. R6–NR–FHP–2007–01. Portland, OR: U.S. Forest Service, Pacific Northwest Region.</w:t>
      </w:r>
    </w:p>
    <w:p w14:paraId="78AA224F" w14:textId="77777777" w:rsidR="001679B4" w:rsidRPr="006F3863" w:rsidRDefault="001679B4" w:rsidP="006F3863">
      <w:pPr>
        <w:spacing w:line="240" w:lineRule="auto"/>
        <w:rPr>
          <w:rFonts w:ascii="Times" w:hAnsi="Times"/>
        </w:rPr>
      </w:pPr>
      <w:r w:rsidRPr="006F3863">
        <w:rPr>
          <w:rFonts w:ascii="Times" w:hAnsi="Times"/>
        </w:rPr>
        <w:t>Burr K, Eramian A, Eggleston K. 2001. Growing whitebark pine seedlings for restoration. In: Tomback D, Arno S, and Keane R, editors. Whitebark Pine Communities, Ecology and Restoration. Washington (DC): Island Press.</w:t>
      </w:r>
    </w:p>
    <w:p w14:paraId="31F3310D" w14:textId="77777777" w:rsidR="00A82494" w:rsidRPr="006F3863" w:rsidRDefault="00A82494" w:rsidP="006F3863">
      <w:pPr>
        <w:spacing w:line="240" w:lineRule="auto"/>
        <w:rPr>
          <w:rFonts w:ascii="Times" w:hAnsi="Times"/>
        </w:rPr>
      </w:pPr>
      <w:r w:rsidRPr="006F3863">
        <w:rPr>
          <w:rFonts w:ascii="Times" w:hAnsi="Times"/>
        </w:rPr>
        <w:t>Eggleston K. 2012. Personal communicati</w:t>
      </w:r>
      <w:r w:rsidR="001A7400" w:rsidRPr="006F3863">
        <w:rPr>
          <w:rFonts w:ascii="Times" w:hAnsi="Times"/>
        </w:rPr>
        <w:t>on. Coeur D</w:t>
      </w:r>
      <w:r w:rsidRPr="006F3863">
        <w:rPr>
          <w:rFonts w:ascii="Times" w:hAnsi="Times"/>
        </w:rPr>
        <w:t xml:space="preserve"> Alene (ID): Greenhouse Horticulturi</w:t>
      </w:r>
      <w:r w:rsidR="001A7400" w:rsidRPr="006F3863">
        <w:rPr>
          <w:rFonts w:ascii="Times" w:hAnsi="Times"/>
        </w:rPr>
        <w:t xml:space="preserve">st, USDA Forest Service, </w:t>
      </w:r>
      <w:proofErr w:type="gramStart"/>
      <w:r w:rsidR="001A7400" w:rsidRPr="006F3863">
        <w:rPr>
          <w:rFonts w:ascii="Times" w:hAnsi="Times"/>
        </w:rPr>
        <w:t>Coeur</w:t>
      </w:r>
      <w:proofErr w:type="gramEnd"/>
      <w:r w:rsidR="001A7400" w:rsidRPr="006F3863">
        <w:rPr>
          <w:rFonts w:ascii="Times" w:hAnsi="Times"/>
        </w:rPr>
        <w:t xml:space="preserve"> D</w:t>
      </w:r>
      <w:r w:rsidRPr="006F3863">
        <w:rPr>
          <w:rFonts w:ascii="Times" w:hAnsi="Times"/>
        </w:rPr>
        <w:t xml:space="preserve"> Alene Nursery.</w:t>
      </w:r>
    </w:p>
    <w:p w14:paraId="59AD9F68" w14:textId="77777777" w:rsidR="005A45E0" w:rsidRPr="006F3863" w:rsidRDefault="005A45E0" w:rsidP="006F3863">
      <w:pPr>
        <w:spacing w:line="240" w:lineRule="auto"/>
        <w:rPr>
          <w:rFonts w:ascii="Times" w:hAnsi="Times"/>
        </w:rPr>
      </w:pPr>
      <w:proofErr w:type="spellStart"/>
      <w:proofErr w:type="gramStart"/>
      <w:r w:rsidRPr="006F3863">
        <w:rPr>
          <w:rFonts w:ascii="Times" w:hAnsi="Times"/>
        </w:rPr>
        <w:t>Gasvota</w:t>
      </w:r>
      <w:proofErr w:type="spellEnd"/>
      <w:r w:rsidRPr="006F3863">
        <w:rPr>
          <w:rFonts w:ascii="Times" w:hAnsi="Times"/>
        </w:rPr>
        <w:t xml:space="preserve"> D, Trent A, Harding C, Burr K. 2002.</w:t>
      </w:r>
      <w:proofErr w:type="gramEnd"/>
      <w:r w:rsidRPr="006F3863">
        <w:rPr>
          <w:rFonts w:ascii="Times" w:hAnsi="Times"/>
        </w:rPr>
        <w:t xml:space="preserve"> </w:t>
      </w:r>
      <w:proofErr w:type="gramStart"/>
      <w:r w:rsidRPr="006F3863">
        <w:rPr>
          <w:rFonts w:ascii="Times" w:hAnsi="Times"/>
        </w:rPr>
        <w:t xml:space="preserve">Whitebark Pine Seed </w:t>
      </w:r>
      <w:proofErr w:type="spellStart"/>
      <w:r w:rsidRPr="006F3863">
        <w:rPr>
          <w:rFonts w:ascii="Times" w:hAnsi="Times"/>
        </w:rPr>
        <w:t>Scarifier</w:t>
      </w:r>
      <w:proofErr w:type="spellEnd"/>
      <w:r w:rsidRPr="006F3863">
        <w:rPr>
          <w:rFonts w:ascii="Times" w:hAnsi="Times"/>
        </w:rPr>
        <w:t>.</w:t>
      </w:r>
      <w:proofErr w:type="gramEnd"/>
      <w:r w:rsidRPr="006F3863">
        <w:rPr>
          <w:rFonts w:ascii="Times" w:hAnsi="Times"/>
        </w:rPr>
        <w:t xml:space="preserve"> In: Timber Tech Tips, Nov. 2002. </w:t>
      </w:r>
      <w:proofErr w:type="gramStart"/>
      <w:r w:rsidRPr="006F3863">
        <w:rPr>
          <w:rFonts w:ascii="Times" w:hAnsi="Times"/>
        </w:rPr>
        <w:t>USDA Forest Service, Technology &amp; Development Program.</w:t>
      </w:r>
      <w:proofErr w:type="gramEnd"/>
      <w:r w:rsidRPr="006F3863">
        <w:rPr>
          <w:rFonts w:ascii="Times" w:hAnsi="Times"/>
        </w:rPr>
        <w:t xml:space="preserve"> 0221-2332-MTDC.</w:t>
      </w:r>
    </w:p>
    <w:p w14:paraId="74C930E5" w14:textId="77777777" w:rsidR="005A45E0" w:rsidRPr="006F3863" w:rsidRDefault="005A45E0" w:rsidP="006F3863">
      <w:pPr>
        <w:spacing w:line="240" w:lineRule="auto"/>
        <w:rPr>
          <w:rFonts w:ascii="Times" w:hAnsi="Times"/>
        </w:rPr>
      </w:pPr>
      <w:r w:rsidRPr="006F3863">
        <w:rPr>
          <w:rFonts w:ascii="Times" w:hAnsi="Times"/>
        </w:rPr>
        <w:t xml:space="preserve">Keane R, Tomback D, </w:t>
      </w:r>
      <w:proofErr w:type="spellStart"/>
      <w:r w:rsidRPr="006F3863">
        <w:rPr>
          <w:rFonts w:ascii="Times" w:hAnsi="Times"/>
        </w:rPr>
        <w:t>Aubry</w:t>
      </w:r>
      <w:proofErr w:type="spellEnd"/>
      <w:r w:rsidRPr="006F3863">
        <w:rPr>
          <w:rFonts w:ascii="Times" w:hAnsi="Times"/>
        </w:rPr>
        <w:t xml:space="preserve"> C, Bower A, Campbell E, Cripps C, Jenkins M, Mahalovich M, McKinney S, Murray M, Perkins D, Reinhart D, Ryan C, </w:t>
      </w:r>
      <w:proofErr w:type="spellStart"/>
      <w:r w:rsidRPr="006F3863">
        <w:rPr>
          <w:rFonts w:ascii="Times" w:hAnsi="Times"/>
        </w:rPr>
        <w:t>Schoettle</w:t>
      </w:r>
      <w:proofErr w:type="spellEnd"/>
      <w:r w:rsidRPr="006F3863">
        <w:rPr>
          <w:rFonts w:ascii="Times" w:hAnsi="Times"/>
        </w:rPr>
        <w:t xml:space="preserve"> A, Smith C. 2012. </w:t>
      </w:r>
      <w:proofErr w:type="gramStart"/>
      <w:r w:rsidRPr="006F3863">
        <w:rPr>
          <w:rFonts w:ascii="Times" w:hAnsi="Times"/>
        </w:rPr>
        <w:t>A range-wide restoration strategy for whitebark pine (</w:t>
      </w:r>
      <w:r w:rsidRPr="006F3863">
        <w:rPr>
          <w:rFonts w:ascii="Times" w:hAnsi="Times"/>
          <w:i/>
        </w:rPr>
        <w:t>Pinus albicaulis</w:t>
      </w:r>
      <w:r w:rsidRPr="006F3863">
        <w:rPr>
          <w:rFonts w:ascii="Times" w:hAnsi="Times"/>
        </w:rPr>
        <w:t>).</w:t>
      </w:r>
      <w:proofErr w:type="gramEnd"/>
      <w:r w:rsidRPr="006F3863">
        <w:rPr>
          <w:rFonts w:ascii="Times" w:hAnsi="Times"/>
        </w:rPr>
        <w:t xml:space="preserve"> Gen. Tech. Rep. RMRS-GTR-279</w:t>
      </w:r>
      <w:proofErr w:type="gramStart"/>
      <w:r w:rsidRPr="006F3863">
        <w:rPr>
          <w:rFonts w:ascii="Times" w:hAnsi="Times"/>
        </w:rPr>
        <w:t>.:</w:t>
      </w:r>
      <w:proofErr w:type="gramEnd"/>
      <w:r w:rsidRPr="006F3863">
        <w:rPr>
          <w:rFonts w:ascii="Times" w:hAnsi="Times"/>
        </w:rPr>
        <w:t xml:space="preserve"> USDA Forest Service, RMRS.</w:t>
      </w:r>
    </w:p>
    <w:p w14:paraId="6565B268" w14:textId="77777777" w:rsidR="005A45E0" w:rsidRPr="006F3863" w:rsidRDefault="005A45E0" w:rsidP="006F3863">
      <w:pPr>
        <w:spacing w:line="240" w:lineRule="auto"/>
        <w:rPr>
          <w:rFonts w:ascii="Times" w:hAnsi="Times"/>
        </w:rPr>
      </w:pPr>
      <w:r w:rsidRPr="006F3863">
        <w:rPr>
          <w:rFonts w:ascii="Times" w:hAnsi="Times"/>
        </w:rPr>
        <w:t xml:space="preserve">Mahalovich M, Burr K, Foushee D. 2006. Whitebark pine germination, rust </w:t>
      </w:r>
      <w:r w:rsidR="001A7400" w:rsidRPr="006F3863">
        <w:rPr>
          <w:rFonts w:ascii="Times" w:hAnsi="Times"/>
        </w:rPr>
        <w:t>resistance</w:t>
      </w:r>
      <w:r w:rsidRPr="006F3863">
        <w:rPr>
          <w:rFonts w:ascii="Times" w:hAnsi="Times"/>
        </w:rPr>
        <w:t xml:space="preserve">, and cold hardiness among seed sources in the Inland Northwest: planting strategies for restoration. In: Riley L, </w:t>
      </w:r>
      <w:proofErr w:type="spellStart"/>
      <w:r w:rsidRPr="006F3863">
        <w:rPr>
          <w:rFonts w:ascii="Times" w:hAnsi="Times"/>
        </w:rPr>
        <w:t>Dumrose</w:t>
      </w:r>
      <w:proofErr w:type="spellEnd"/>
      <w:r w:rsidRPr="006F3863">
        <w:rPr>
          <w:rFonts w:ascii="Times" w:hAnsi="Times"/>
        </w:rPr>
        <w:t xml:space="preserve"> KR, </w:t>
      </w:r>
      <w:proofErr w:type="spellStart"/>
      <w:r w:rsidRPr="006F3863">
        <w:rPr>
          <w:rFonts w:ascii="Times" w:hAnsi="Times"/>
        </w:rPr>
        <w:t>LandisT</w:t>
      </w:r>
      <w:proofErr w:type="spellEnd"/>
      <w:r w:rsidRPr="006F3863">
        <w:rPr>
          <w:rFonts w:ascii="Times" w:hAnsi="Times"/>
        </w:rPr>
        <w:t xml:space="preserve">, </w:t>
      </w:r>
      <w:proofErr w:type="gramStart"/>
      <w:r w:rsidRPr="006F3863">
        <w:rPr>
          <w:rFonts w:ascii="Times" w:hAnsi="Times"/>
        </w:rPr>
        <w:t>technical</w:t>
      </w:r>
      <w:proofErr w:type="gramEnd"/>
      <w:r w:rsidRPr="006F3863">
        <w:rPr>
          <w:rFonts w:ascii="Times" w:hAnsi="Times"/>
        </w:rPr>
        <w:t xml:space="preserve"> coordinators. </w:t>
      </w:r>
      <w:proofErr w:type="gramStart"/>
      <w:r w:rsidRPr="006F3863">
        <w:rPr>
          <w:rFonts w:ascii="Times" w:hAnsi="Times"/>
        </w:rPr>
        <w:t>Proceedings – Forest and Conservation Nursery Associations – 2005.</w:t>
      </w:r>
      <w:proofErr w:type="gramEnd"/>
      <w:r w:rsidRPr="006F3863">
        <w:rPr>
          <w:rFonts w:ascii="Times" w:hAnsi="Times"/>
        </w:rPr>
        <w:t xml:space="preserve"> </w:t>
      </w:r>
      <w:proofErr w:type="gramStart"/>
      <w:r w:rsidRPr="006F3863">
        <w:rPr>
          <w:rFonts w:ascii="Times" w:hAnsi="Times"/>
        </w:rPr>
        <w:t>RMRS-P-43, USDA Forest Service, Rocky Mountai</w:t>
      </w:r>
      <w:r w:rsidR="001A7400" w:rsidRPr="006F3863">
        <w:rPr>
          <w:rFonts w:ascii="Times" w:hAnsi="Times"/>
        </w:rPr>
        <w:t>n Research Station, Fort Collin</w:t>
      </w:r>
      <w:r w:rsidRPr="006F3863">
        <w:rPr>
          <w:rFonts w:ascii="Times" w:hAnsi="Times"/>
        </w:rPr>
        <w:t>s, CO, USA.</w:t>
      </w:r>
      <w:proofErr w:type="gramEnd"/>
    </w:p>
    <w:p w14:paraId="097A2B4F" w14:textId="77777777" w:rsidR="001679B4" w:rsidRPr="006F3863" w:rsidRDefault="001679B4" w:rsidP="006F3863">
      <w:pPr>
        <w:spacing w:line="240" w:lineRule="auto"/>
        <w:rPr>
          <w:rFonts w:ascii="Times" w:hAnsi="Times"/>
        </w:rPr>
      </w:pPr>
      <w:proofErr w:type="spellStart"/>
      <w:r w:rsidRPr="006F3863">
        <w:rPr>
          <w:rFonts w:ascii="Times" w:hAnsi="Times"/>
        </w:rPr>
        <w:t>McCaughney</w:t>
      </w:r>
      <w:proofErr w:type="spellEnd"/>
      <w:r w:rsidRPr="006F3863">
        <w:rPr>
          <w:rFonts w:ascii="Times" w:hAnsi="Times"/>
        </w:rPr>
        <w:t xml:space="preserve"> W, Schmidt W. 1990. </w:t>
      </w:r>
      <w:proofErr w:type="spellStart"/>
      <w:proofErr w:type="gramStart"/>
      <w:r w:rsidRPr="006F3863">
        <w:rPr>
          <w:rFonts w:ascii="Times" w:hAnsi="Times"/>
        </w:rPr>
        <w:t>A</w:t>
      </w:r>
      <w:r w:rsidR="001A7400" w:rsidRPr="006F3863">
        <w:rPr>
          <w:rFonts w:ascii="Times" w:hAnsi="Times"/>
        </w:rPr>
        <w:t>u</w:t>
      </w:r>
      <w:r w:rsidRPr="006F3863">
        <w:rPr>
          <w:rFonts w:ascii="Times" w:hAnsi="Times"/>
        </w:rPr>
        <w:t>toecology</w:t>
      </w:r>
      <w:proofErr w:type="spellEnd"/>
      <w:r w:rsidRPr="006F3863">
        <w:rPr>
          <w:rFonts w:ascii="Times" w:hAnsi="Times"/>
        </w:rPr>
        <w:t xml:space="preserve"> of whitebark pine.</w:t>
      </w:r>
      <w:proofErr w:type="gramEnd"/>
      <w:r w:rsidRPr="006F3863">
        <w:rPr>
          <w:rFonts w:ascii="Times" w:hAnsi="Times"/>
        </w:rPr>
        <w:t xml:space="preserve"> In: Schmidt W, McDonald K, compilers. Proceedings </w:t>
      </w:r>
      <w:r w:rsidR="00C31662" w:rsidRPr="006F3863">
        <w:rPr>
          <w:rFonts w:ascii="Times" w:hAnsi="Times"/>
        </w:rPr>
        <w:t>–</w:t>
      </w:r>
      <w:r w:rsidRPr="006F3863">
        <w:rPr>
          <w:rFonts w:ascii="Times" w:hAnsi="Times"/>
        </w:rPr>
        <w:t xml:space="preserve"> Symposium</w:t>
      </w:r>
      <w:r w:rsidR="00C31662" w:rsidRPr="006F3863">
        <w:rPr>
          <w:rFonts w:ascii="Times" w:hAnsi="Times"/>
        </w:rPr>
        <w:t xml:space="preserve"> on whitebark pine ecosystems: Ecology and management of a high-mountain resource. Gen. Tech. Rep. Int-270. </w:t>
      </w:r>
      <w:proofErr w:type="gramStart"/>
      <w:r w:rsidR="00C31662" w:rsidRPr="006F3863">
        <w:rPr>
          <w:rFonts w:ascii="Times" w:hAnsi="Times"/>
        </w:rPr>
        <w:t>USDA Forest Service, Intermountain Research Station.</w:t>
      </w:r>
      <w:proofErr w:type="gramEnd"/>
    </w:p>
    <w:p w14:paraId="2EDC1BEA" w14:textId="77777777" w:rsidR="005A45E0" w:rsidRPr="006F3863" w:rsidRDefault="005A45E0" w:rsidP="006F3863">
      <w:pPr>
        <w:spacing w:line="240" w:lineRule="auto"/>
        <w:rPr>
          <w:rFonts w:ascii="Times" w:hAnsi="Times"/>
        </w:rPr>
      </w:pPr>
      <w:proofErr w:type="spellStart"/>
      <w:proofErr w:type="gramStart"/>
      <w:r w:rsidRPr="006F3863">
        <w:rPr>
          <w:rFonts w:ascii="Times" w:hAnsi="Times"/>
        </w:rPr>
        <w:t>McCaughney</w:t>
      </w:r>
      <w:proofErr w:type="spellEnd"/>
      <w:r w:rsidRPr="006F3863">
        <w:rPr>
          <w:rFonts w:ascii="Times" w:hAnsi="Times"/>
        </w:rPr>
        <w:t xml:space="preserve"> W. 1992.</w:t>
      </w:r>
      <w:proofErr w:type="gramEnd"/>
      <w:r w:rsidRPr="006F3863">
        <w:rPr>
          <w:rFonts w:ascii="Times" w:hAnsi="Times"/>
        </w:rPr>
        <w:t xml:space="preserve"> </w:t>
      </w:r>
      <w:proofErr w:type="gramStart"/>
      <w:r w:rsidRPr="006F3863">
        <w:rPr>
          <w:rFonts w:ascii="Times" w:hAnsi="Times"/>
        </w:rPr>
        <w:t>The regeneration process of whitebark pine.</w:t>
      </w:r>
      <w:proofErr w:type="gramEnd"/>
      <w:r w:rsidRPr="006F3863">
        <w:rPr>
          <w:rFonts w:ascii="Times" w:hAnsi="Times"/>
        </w:rPr>
        <w:t xml:space="preserve"> In: Schmidt W, </w:t>
      </w:r>
      <w:proofErr w:type="spellStart"/>
      <w:r w:rsidRPr="006F3863">
        <w:rPr>
          <w:rFonts w:ascii="Times" w:hAnsi="Times"/>
        </w:rPr>
        <w:t>Holtmeier</w:t>
      </w:r>
      <w:proofErr w:type="spellEnd"/>
      <w:r w:rsidRPr="006F3863">
        <w:rPr>
          <w:rFonts w:ascii="Times" w:hAnsi="Times"/>
        </w:rPr>
        <w:t xml:space="preserve"> F, compilers. Proceedings – International workshop on subalpine stone pines and their environment: The status of our knowledge. Gen. Tech</w:t>
      </w:r>
      <w:r w:rsidR="00C31662" w:rsidRPr="006F3863">
        <w:rPr>
          <w:rFonts w:ascii="Times" w:hAnsi="Times"/>
        </w:rPr>
        <w:t>.</w:t>
      </w:r>
      <w:r w:rsidRPr="006F3863">
        <w:rPr>
          <w:rFonts w:ascii="Times" w:hAnsi="Times"/>
        </w:rPr>
        <w:t xml:space="preserve"> Rep. INT-GRT-309. </w:t>
      </w:r>
      <w:proofErr w:type="gramStart"/>
      <w:r w:rsidRPr="006F3863">
        <w:rPr>
          <w:rFonts w:ascii="Times" w:hAnsi="Times"/>
        </w:rPr>
        <w:t>USDA Forest Service, Intermountain Research Station.</w:t>
      </w:r>
      <w:proofErr w:type="gramEnd"/>
    </w:p>
    <w:p w14:paraId="4D27ABE9" w14:textId="77777777" w:rsidR="005A45E0" w:rsidRPr="006F3863" w:rsidRDefault="005A45E0" w:rsidP="006F3863">
      <w:pPr>
        <w:spacing w:line="240" w:lineRule="auto"/>
        <w:rPr>
          <w:rFonts w:ascii="Times" w:hAnsi="Times"/>
        </w:rPr>
      </w:pPr>
      <w:proofErr w:type="spellStart"/>
      <w:r w:rsidRPr="006F3863">
        <w:rPr>
          <w:rFonts w:ascii="Times" w:hAnsi="Times"/>
        </w:rPr>
        <w:t>Pitel</w:t>
      </w:r>
      <w:proofErr w:type="spellEnd"/>
      <w:r w:rsidRPr="006F3863">
        <w:rPr>
          <w:rFonts w:ascii="Times" w:hAnsi="Times"/>
        </w:rPr>
        <w:t xml:space="preserve"> J, Wang B. 1990. </w:t>
      </w:r>
      <w:proofErr w:type="gramStart"/>
      <w:r w:rsidRPr="006F3863">
        <w:rPr>
          <w:rFonts w:ascii="Times" w:hAnsi="Times"/>
        </w:rPr>
        <w:t>Physical and chemical treatments to improve germination of whitebark pine seeds.</w:t>
      </w:r>
      <w:proofErr w:type="gramEnd"/>
      <w:r w:rsidRPr="006F3863">
        <w:rPr>
          <w:rFonts w:ascii="Times" w:hAnsi="Times"/>
        </w:rPr>
        <w:t xml:space="preserve"> In: Schmidt W, McDonald K, compilers. Proceedings – Symposium on whitebark pine ecosystems: Ecology and management of a high-mountain resource. INT-270. </w:t>
      </w:r>
      <w:proofErr w:type="gramStart"/>
      <w:r w:rsidRPr="006F3863">
        <w:rPr>
          <w:rFonts w:ascii="Times" w:hAnsi="Times"/>
        </w:rPr>
        <w:t>USDA Forest Service, Intermountain Research Station.</w:t>
      </w:r>
      <w:proofErr w:type="gramEnd"/>
    </w:p>
    <w:p w14:paraId="05FAE390" w14:textId="77777777" w:rsidR="005A45E0" w:rsidRPr="006F3863" w:rsidRDefault="005A45E0" w:rsidP="006F3863">
      <w:pPr>
        <w:spacing w:line="240" w:lineRule="auto"/>
        <w:rPr>
          <w:rFonts w:ascii="Times" w:hAnsi="Times"/>
        </w:rPr>
      </w:pPr>
      <w:proofErr w:type="gramStart"/>
      <w:r w:rsidRPr="006F3863">
        <w:rPr>
          <w:rFonts w:ascii="Times" w:hAnsi="Times"/>
        </w:rPr>
        <w:t xml:space="preserve">Riley L, </w:t>
      </w:r>
      <w:proofErr w:type="spellStart"/>
      <w:r w:rsidRPr="006F3863">
        <w:rPr>
          <w:rFonts w:ascii="Times" w:hAnsi="Times"/>
        </w:rPr>
        <w:t>Coumas</w:t>
      </w:r>
      <w:proofErr w:type="spellEnd"/>
      <w:r w:rsidRPr="006F3863">
        <w:rPr>
          <w:rFonts w:ascii="Times" w:hAnsi="Times"/>
        </w:rPr>
        <w:t xml:space="preserve"> C, Danielson J, </w:t>
      </w:r>
      <w:proofErr w:type="spellStart"/>
      <w:r w:rsidRPr="006F3863">
        <w:rPr>
          <w:rFonts w:ascii="Times" w:hAnsi="Times"/>
        </w:rPr>
        <w:t>Berdeen</w:t>
      </w:r>
      <w:proofErr w:type="spellEnd"/>
      <w:r w:rsidRPr="006F3863">
        <w:rPr>
          <w:rFonts w:ascii="Times" w:hAnsi="Times"/>
        </w:rPr>
        <w:t xml:space="preserve"> J. 2007.</w:t>
      </w:r>
      <w:proofErr w:type="gramEnd"/>
      <w:r w:rsidRPr="006F3863">
        <w:rPr>
          <w:rFonts w:ascii="Times" w:hAnsi="Times"/>
        </w:rPr>
        <w:t xml:space="preserve"> Seedling Nursery Culture of Whitebark Pine at </w:t>
      </w:r>
      <w:proofErr w:type="spellStart"/>
      <w:r w:rsidRPr="006F3863">
        <w:rPr>
          <w:rFonts w:ascii="Times" w:hAnsi="Times"/>
        </w:rPr>
        <w:t>Dorena</w:t>
      </w:r>
      <w:proofErr w:type="spellEnd"/>
      <w:r w:rsidRPr="006F3863">
        <w:rPr>
          <w:rFonts w:ascii="Times" w:hAnsi="Times"/>
        </w:rPr>
        <w:t xml:space="preserve"> Gene</w:t>
      </w:r>
      <w:r w:rsidR="001A7400" w:rsidRPr="006F3863">
        <w:rPr>
          <w:rFonts w:ascii="Times" w:hAnsi="Times"/>
        </w:rPr>
        <w:t>t</w:t>
      </w:r>
      <w:r w:rsidRPr="006F3863">
        <w:rPr>
          <w:rFonts w:ascii="Times" w:hAnsi="Times"/>
        </w:rPr>
        <w:t xml:space="preserve">ic Resource Center: Headaches, Successes, and Growing Pains. In: </w:t>
      </w:r>
      <w:proofErr w:type="spellStart"/>
      <w:r w:rsidRPr="006F3863">
        <w:rPr>
          <w:rFonts w:ascii="Times" w:hAnsi="Times"/>
        </w:rPr>
        <w:t>Goheen</w:t>
      </w:r>
      <w:proofErr w:type="spellEnd"/>
      <w:r w:rsidRPr="006F3863">
        <w:rPr>
          <w:rFonts w:ascii="Times" w:hAnsi="Times"/>
        </w:rPr>
        <w:t xml:space="preserve"> E, and </w:t>
      </w:r>
      <w:proofErr w:type="spellStart"/>
      <w:r w:rsidRPr="006F3863">
        <w:rPr>
          <w:rFonts w:ascii="Times" w:hAnsi="Times"/>
        </w:rPr>
        <w:t>Sniezko</w:t>
      </w:r>
      <w:proofErr w:type="spellEnd"/>
      <w:r w:rsidRPr="006F3863">
        <w:rPr>
          <w:rFonts w:ascii="Times" w:hAnsi="Times"/>
        </w:rPr>
        <w:t xml:space="preserve"> R, technical coordinators. Proceedings – Whitebark Pine: A Pacific Coast Perspective. R6–NR–FHP–2007–01. Portland, OR: U.S. Forest Service, Pacific Northwest Region.</w:t>
      </w:r>
    </w:p>
    <w:p w14:paraId="04F8BD98" w14:textId="77777777" w:rsidR="00620B18" w:rsidRPr="006F3863" w:rsidRDefault="00620B18" w:rsidP="006F3863">
      <w:pPr>
        <w:spacing w:line="240" w:lineRule="auto"/>
        <w:rPr>
          <w:rFonts w:ascii="Times" w:hAnsi="Times"/>
        </w:rPr>
      </w:pPr>
      <w:proofErr w:type="gramStart"/>
      <w:r w:rsidRPr="006F3863">
        <w:rPr>
          <w:rFonts w:ascii="Times" w:hAnsi="Times"/>
        </w:rPr>
        <w:t>Tillman-</w:t>
      </w:r>
      <w:proofErr w:type="spellStart"/>
      <w:r w:rsidRPr="006F3863">
        <w:rPr>
          <w:rFonts w:ascii="Times" w:hAnsi="Times"/>
        </w:rPr>
        <w:t>Sutela</w:t>
      </w:r>
      <w:proofErr w:type="spellEnd"/>
      <w:r w:rsidRPr="006F3863">
        <w:rPr>
          <w:rFonts w:ascii="Times" w:hAnsi="Times"/>
        </w:rPr>
        <w:t xml:space="preserve"> E, </w:t>
      </w:r>
      <w:proofErr w:type="spellStart"/>
      <w:r w:rsidRPr="006F3863">
        <w:rPr>
          <w:rFonts w:ascii="Times" w:hAnsi="Times"/>
        </w:rPr>
        <w:t>Kauppi</w:t>
      </w:r>
      <w:proofErr w:type="spellEnd"/>
      <w:r w:rsidRPr="006F3863">
        <w:rPr>
          <w:rFonts w:ascii="Times" w:hAnsi="Times"/>
        </w:rPr>
        <w:t xml:space="preserve"> A, </w:t>
      </w:r>
      <w:proofErr w:type="spellStart"/>
      <w:r w:rsidRPr="006F3863">
        <w:rPr>
          <w:rFonts w:ascii="Times" w:hAnsi="Times"/>
        </w:rPr>
        <w:t>Karppinen</w:t>
      </w:r>
      <w:proofErr w:type="spellEnd"/>
      <w:r w:rsidRPr="006F3863">
        <w:rPr>
          <w:rFonts w:ascii="Times" w:hAnsi="Times"/>
        </w:rPr>
        <w:t xml:space="preserve"> K, Tomback D. 2008.</w:t>
      </w:r>
      <w:proofErr w:type="gramEnd"/>
      <w:r w:rsidRPr="006F3863">
        <w:rPr>
          <w:rFonts w:ascii="Times" w:hAnsi="Times"/>
        </w:rPr>
        <w:t xml:space="preserve"> Variant maturity in seed structures of </w:t>
      </w:r>
      <w:r w:rsidRPr="006F3863">
        <w:rPr>
          <w:rFonts w:ascii="Times" w:hAnsi="Times"/>
          <w:i/>
        </w:rPr>
        <w:t xml:space="preserve">Pinus albicaulis </w:t>
      </w:r>
      <w:r w:rsidRPr="006F3863">
        <w:rPr>
          <w:rFonts w:ascii="Times" w:hAnsi="Times"/>
        </w:rPr>
        <w:t>(</w:t>
      </w:r>
      <w:proofErr w:type="spellStart"/>
      <w:r w:rsidRPr="006F3863">
        <w:rPr>
          <w:rFonts w:ascii="Times" w:hAnsi="Times"/>
        </w:rPr>
        <w:t>Engelm</w:t>
      </w:r>
      <w:proofErr w:type="spellEnd"/>
      <w:r w:rsidRPr="006F3863">
        <w:rPr>
          <w:rFonts w:ascii="Times" w:hAnsi="Times"/>
        </w:rPr>
        <w:t xml:space="preserve">.) and </w:t>
      </w:r>
      <w:r w:rsidRPr="006F3863">
        <w:rPr>
          <w:rFonts w:ascii="Times" w:hAnsi="Times"/>
          <w:i/>
        </w:rPr>
        <w:t xml:space="preserve">Pinus </w:t>
      </w:r>
      <w:proofErr w:type="spellStart"/>
      <w:r w:rsidRPr="006F3863">
        <w:rPr>
          <w:rFonts w:ascii="Times" w:hAnsi="Times"/>
          <w:i/>
        </w:rPr>
        <w:t>sibirica</w:t>
      </w:r>
      <w:proofErr w:type="spellEnd"/>
      <w:r w:rsidRPr="006F3863">
        <w:rPr>
          <w:rFonts w:ascii="Times" w:hAnsi="Times"/>
        </w:rPr>
        <w:t xml:space="preserve"> (Du Tour): key to a soil seed bank, unusual among conifers? Trees-Structure and Function 22(2)</w:t>
      </w:r>
      <w:proofErr w:type="gramStart"/>
      <w:r w:rsidRPr="006F3863">
        <w:rPr>
          <w:rFonts w:ascii="Times" w:hAnsi="Times"/>
        </w:rPr>
        <w:t>:225</w:t>
      </w:r>
      <w:proofErr w:type="gramEnd"/>
      <w:r w:rsidRPr="006F3863">
        <w:rPr>
          <w:rFonts w:ascii="Times" w:hAnsi="Times"/>
        </w:rPr>
        <w:t>-236.</w:t>
      </w:r>
    </w:p>
    <w:p w14:paraId="558E1F1F" w14:textId="77777777" w:rsidR="00620B18" w:rsidRPr="006F3863" w:rsidRDefault="00F74056" w:rsidP="006F3863">
      <w:pPr>
        <w:spacing w:line="240" w:lineRule="auto"/>
        <w:rPr>
          <w:rFonts w:ascii="Times" w:hAnsi="Times"/>
        </w:rPr>
      </w:pPr>
      <w:r w:rsidRPr="006F3863">
        <w:rPr>
          <w:rFonts w:ascii="Times" w:hAnsi="Times"/>
        </w:rPr>
        <w:lastRenderedPageBreak/>
        <w:t xml:space="preserve">Tomback D, </w:t>
      </w:r>
      <w:proofErr w:type="spellStart"/>
      <w:r w:rsidRPr="006F3863">
        <w:rPr>
          <w:rFonts w:ascii="Times" w:hAnsi="Times"/>
        </w:rPr>
        <w:t>Anderies</w:t>
      </w:r>
      <w:proofErr w:type="spellEnd"/>
      <w:r w:rsidRPr="006F3863">
        <w:rPr>
          <w:rFonts w:ascii="Times" w:hAnsi="Times"/>
        </w:rPr>
        <w:t xml:space="preserve"> A, </w:t>
      </w:r>
      <w:proofErr w:type="spellStart"/>
      <w:r w:rsidRPr="006F3863">
        <w:rPr>
          <w:rFonts w:ascii="Times" w:hAnsi="Times"/>
        </w:rPr>
        <w:t>Carsey</w:t>
      </w:r>
      <w:proofErr w:type="spellEnd"/>
      <w:r w:rsidRPr="006F3863">
        <w:rPr>
          <w:rFonts w:ascii="Times" w:hAnsi="Times"/>
        </w:rPr>
        <w:t xml:space="preserve"> K, </w:t>
      </w:r>
      <w:proofErr w:type="spellStart"/>
      <w:r w:rsidRPr="006F3863">
        <w:rPr>
          <w:rFonts w:ascii="Times" w:hAnsi="Times"/>
        </w:rPr>
        <w:t>Powekk</w:t>
      </w:r>
      <w:proofErr w:type="spellEnd"/>
      <w:r w:rsidRPr="006F3863">
        <w:rPr>
          <w:rFonts w:ascii="Times" w:hAnsi="Times"/>
        </w:rPr>
        <w:t xml:space="preserve"> M, </w:t>
      </w:r>
      <w:proofErr w:type="spellStart"/>
      <w:r w:rsidRPr="006F3863">
        <w:rPr>
          <w:rFonts w:ascii="Times" w:hAnsi="Times"/>
        </w:rPr>
        <w:t>Mellmann</w:t>
      </w:r>
      <w:proofErr w:type="spellEnd"/>
      <w:r w:rsidRPr="006F3863">
        <w:rPr>
          <w:rFonts w:ascii="Times" w:hAnsi="Times"/>
        </w:rPr>
        <w:t xml:space="preserve">-Brown S. 2001. Delayed seed germination in whitebark pine and regeneration patterns following the Yellowstone fires. </w:t>
      </w:r>
      <w:proofErr w:type="gramStart"/>
      <w:r w:rsidRPr="006F3863">
        <w:rPr>
          <w:rFonts w:ascii="Times" w:hAnsi="Times"/>
        </w:rPr>
        <w:t>Ecology 82:2585-2600.</w:t>
      </w:r>
      <w:proofErr w:type="gramEnd"/>
    </w:p>
    <w:p w14:paraId="484CDD39" w14:textId="77777777" w:rsidR="005A45E0" w:rsidRPr="006F3863" w:rsidRDefault="005A45E0" w:rsidP="006F3863">
      <w:pPr>
        <w:spacing w:line="240" w:lineRule="auto"/>
        <w:rPr>
          <w:rFonts w:ascii="Times" w:hAnsi="Times"/>
        </w:rPr>
      </w:pPr>
      <w:r w:rsidRPr="006F3863">
        <w:rPr>
          <w:rFonts w:ascii="Times" w:hAnsi="Times"/>
        </w:rPr>
        <w:t xml:space="preserve">Tomback D, Arno S, Keane R. 2001. Whitebark Pine Communities: Ecology and Restoration. Island Press, Washington, DC, USA. </w:t>
      </w:r>
    </w:p>
    <w:p w14:paraId="47CFC24D" w14:textId="77777777" w:rsidR="005A45E0" w:rsidRPr="006F3863" w:rsidRDefault="005A45E0" w:rsidP="006F3863">
      <w:pPr>
        <w:spacing w:line="240" w:lineRule="auto"/>
        <w:rPr>
          <w:rFonts w:ascii="Times" w:hAnsi="Times"/>
        </w:rPr>
      </w:pPr>
      <w:proofErr w:type="spellStart"/>
      <w:r w:rsidRPr="006F3863">
        <w:rPr>
          <w:rFonts w:ascii="Times" w:hAnsi="Times"/>
        </w:rPr>
        <w:t>Waring</w:t>
      </w:r>
      <w:proofErr w:type="spellEnd"/>
      <w:r w:rsidRPr="006F3863">
        <w:rPr>
          <w:rFonts w:ascii="Times" w:hAnsi="Times"/>
        </w:rPr>
        <w:t xml:space="preserve"> K, Goodrich B. 2012. Artificial regeneration of five-needle pines of western North America: A </w:t>
      </w:r>
      <w:r w:rsidR="001A7400" w:rsidRPr="006F3863">
        <w:rPr>
          <w:rFonts w:ascii="Times" w:hAnsi="Times"/>
        </w:rPr>
        <w:t>survey</w:t>
      </w:r>
      <w:r w:rsidRPr="006F3863">
        <w:rPr>
          <w:rFonts w:ascii="Times" w:hAnsi="Times"/>
        </w:rPr>
        <w:t xml:space="preserve"> of current practices and future needs. Tree Planters Notes, Vol. 55, No. 2, 2012.</w:t>
      </w:r>
    </w:p>
    <w:p w14:paraId="085DE1B6" w14:textId="77777777" w:rsidR="00335D35" w:rsidRPr="006F3863" w:rsidRDefault="00BE7248" w:rsidP="006F3863">
      <w:pPr>
        <w:spacing w:line="240" w:lineRule="auto"/>
        <w:rPr>
          <w:rFonts w:ascii="Times" w:hAnsi="Times"/>
        </w:rPr>
      </w:pPr>
      <w:r w:rsidRPr="006F3863">
        <w:rPr>
          <w:rFonts w:ascii="Times" w:hAnsi="Times"/>
        </w:rPr>
        <w:t xml:space="preserve">Wick D, Luna T, Evans J, Hosokawa J. 2008. </w:t>
      </w:r>
      <w:proofErr w:type="gramStart"/>
      <w:r w:rsidRPr="006F3863">
        <w:rPr>
          <w:rFonts w:ascii="Times" w:hAnsi="Times"/>
        </w:rPr>
        <w:t xml:space="preserve">Propagation protocol for production of container Pinus albicaulis </w:t>
      </w:r>
      <w:proofErr w:type="spellStart"/>
      <w:r w:rsidRPr="006F3863">
        <w:rPr>
          <w:rFonts w:ascii="Times" w:hAnsi="Times"/>
        </w:rPr>
        <w:t>Engelm</w:t>
      </w:r>
      <w:proofErr w:type="spellEnd"/>
      <w:r w:rsidRPr="006F3863">
        <w:rPr>
          <w:rFonts w:ascii="Times" w:hAnsi="Times"/>
        </w:rPr>
        <w:t>.</w:t>
      </w:r>
      <w:proofErr w:type="gramEnd"/>
      <w:r w:rsidRPr="006F3863">
        <w:rPr>
          <w:rFonts w:ascii="Times" w:hAnsi="Times"/>
        </w:rPr>
        <w:t xml:space="preserve"> </w:t>
      </w:r>
      <w:proofErr w:type="gramStart"/>
      <w:r w:rsidRPr="006F3863">
        <w:rPr>
          <w:rFonts w:ascii="Times" w:hAnsi="Times"/>
        </w:rPr>
        <w:t xml:space="preserve">Plants (172 ml </w:t>
      </w:r>
      <w:proofErr w:type="spellStart"/>
      <w:r w:rsidRPr="006F3863">
        <w:rPr>
          <w:rFonts w:ascii="Times" w:hAnsi="Times"/>
        </w:rPr>
        <w:t>conetainers</w:t>
      </w:r>
      <w:proofErr w:type="spellEnd"/>
      <w:r w:rsidRPr="006F3863">
        <w:rPr>
          <w:rFonts w:ascii="Times" w:hAnsi="Times"/>
        </w:rPr>
        <w:t>); USDI NPS – Glacier National Park, West Glacier, MT.</w:t>
      </w:r>
      <w:proofErr w:type="gramEnd"/>
      <w:r w:rsidRPr="006F3863">
        <w:rPr>
          <w:rFonts w:ascii="Times" w:hAnsi="Times"/>
        </w:rPr>
        <w:t xml:space="preserve"> In: Native Plants Network. URL: http://www.native plantnetwork.org (accessed 7 August 2012). Moscow (ID): University of Idaho, College of Natural Resources, </w:t>
      </w:r>
      <w:proofErr w:type="gramStart"/>
      <w:r w:rsidRPr="006F3863">
        <w:rPr>
          <w:rFonts w:ascii="Times" w:hAnsi="Times"/>
        </w:rPr>
        <w:t>Forest</w:t>
      </w:r>
      <w:proofErr w:type="gramEnd"/>
      <w:r w:rsidRPr="006F3863">
        <w:rPr>
          <w:rFonts w:ascii="Times" w:hAnsi="Times"/>
        </w:rPr>
        <w:t xml:space="preserve"> Research Nursery.</w:t>
      </w:r>
    </w:p>
    <w:p w14:paraId="14A8BF83" w14:textId="77777777" w:rsidR="00335D35" w:rsidRPr="006F3863" w:rsidRDefault="00335D35" w:rsidP="006F3863">
      <w:pPr>
        <w:spacing w:line="240" w:lineRule="auto"/>
        <w:rPr>
          <w:rFonts w:ascii="Times" w:hAnsi="Times"/>
        </w:rPr>
      </w:pPr>
      <w:r w:rsidRPr="006F3863">
        <w:rPr>
          <w:rFonts w:ascii="Times" w:hAnsi="Times"/>
        </w:rPr>
        <w:br w:type="page"/>
      </w:r>
    </w:p>
    <w:p w14:paraId="28C7C781" w14:textId="77777777" w:rsidR="004B0C11" w:rsidRPr="006F3863" w:rsidRDefault="004B0C11" w:rsidP="006F3863">
      <w:pPr>
        <w:spacing w:line="240" w:lineRule="auto"/>
        <w:rPr>
          <w:rFonts w:ascii="Times" w:hAnsi="Times"/>
        </w:rPr>
      </w:pPr>
      <w:r w:rsidRPr="006F3863">
        <w:rPr>
          <w:rFonts w:ascii="Times" w:hAnsi="Times"/>
          <w:noProof/>
          <w:lang w:val="es-ES" w:eastAsia="es-ES"/>
        </w:rPr>
        <w:lastRenderedPageBreak/>
        <w:drawing>
          <wp:inline distT="0" distB="0" distL="0" distR="0" wp14:anchorId="0C34F567" wp14:editId="66B73414">
            <wp:extent cx="5219700" cy="3713575"/>
            <wp:effectExtent l="19050" t="19050" r="19050"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3713575"/>
                    </a:xfrm>
                    <a:prstGeom prst="rect">
                      <a:avLst/>
                    </a:prstGeom>
                    <a:noFill/>
                    <a:ln>
                      <a:solidFill>
                        <a:schemeClr val="tx1"/>
                      </a:solidFill>
                    </a:ln>
                  </pic:spPr>
                </pic:pic>
              </a:graphicData>
            </a:graphic>
          </wp:inline>
        </w:drawing>
      </w:r>
    </w:p>
    <w:p w14:paraId="133D5B36" w14:textId="39390E6B" w:rsidR="00335D35" w:rsidRPr="006F3863" w:rsidRDefault="00335D35" w:rsidP="006F3863">
      <w:pPr>
        <w:spacing w:line="240" w:lineRule="auto"/>
        <w:rPr>
          <w:rFonts w:ascii="Times" w:hAnsi="Times"/>
        </w:rPr>
      </w:pPr>
      <w:r w:rsidRPr="006F3863">
        <w:rPr>
          <w:rFonts w:ascii="Times" w:hAnsi="Times"/>
        </w:rPr>
        <w:t>Figure 1.</w:t>
      </w:r>
      <w:r w:rsidR="004B0C11" w:rsidRPr="006F3863">
        <w:rPr>
          <w:rFonts w:ascii="Times" w:hAnsi="Times"/>
        </w:rPr>
        <w:t xml:space="preserve"> Percent germination by seedlot collection year (age) for lots sown in 2012, with 90-day cold stratification. </w:t>
      </w:r>
    </w:p>
    <w:p w14:paraId="33E0D4B3" w14:textId="77777777" w:rsidR="00335D35" w:rsidRPr="006F3863" w:rsidRDefault="00335D35" w:rsidP="006F3863">
      <w:pPr>
        <w:spacing w:line="240" w:lineRule="auto"/>
        <w:rPr>
          <w:rFonts w:ascii="Times" w:hAnsi="Times"/>
        </w:rPr>
      </w:pPr>
    </w:p>
    <w:p w14:paraId="534CA5B4" w14:textId="77777777" w:rsidR="00335D35" w:rsidRPr="006F3863" w:rsidRDefault="00E62747" w:rsidP="006F3863">
      <w:pPr>
        <w:spacing w:line="240" w:lineRule="auto"/>
        <w:rPr>
          <w:rFonts w:ascii="Times" w:hAnsi="Times"/>
        </w:rPr>
      </w:pPr>
      <w:r w:rsidRPr="006F3863">
        <w:rPr>
          <w:rFonts w:ascii="Times" w:hAnsi="Times"/>
          <w:noProof/>
          <w:lang w:val="es-ES" w:eastAsia="es-ES"/>
        </w:rPr>
        <w:lastRenderedPageBreak/>
        <w:drawing>
          <wp:inline distT="0" distB="0" distL="0" distR="0" wp14:anchorId="1D55BDEE" wp14:editId="7D64250E">
            <wp:extent cx="5657850" cy="3990975"/>
            <wp:effectExtent l="19050" t="19050" r="19050" b="28575"/>
            <wp:docPr id="2" name="Picture 2" descr="C:\Documents and Settings\ndrobertson\Local Settings\Temporary Internet Files\Content.Word\WBP strat 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drobertson\Local Settings\Temporary Internet Files\Content.Word\WBP strat grap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3990975"/>
                    </a:xfrm>
                    <a:prstGeom prst="rect">
                      <a:avLst/>
                    </a:prstGeom>
                    <a:noFill/>
                    <a:ln>
                      <a:solidFill>
                        <a:schemeClr val="tx1"/>
                      </a:solidFill>
                    </a:ln>
                  </pic:spPr>
                </pic:pic>
              </a:graphicData>
            </a:graphic>
          </wp:inline>
        </w:drawing>
      </w:r>
    </w:p>
    <w:p w14:paraId="3E7DB997" w14:textId="0785F5F3" w:rsidR="00335D35" w:rsidRPr="006F3863" w:rsidRDefault="00335D35" w:rsidP="006F3863">
      <w:pPr>
        <w:spacing w:line="240" w:lineRule="auto"/>
        <w:rPr>
          <w:rFonts w:ascii="Times" w:hAnsi="Times"/>
        </w:rPr>
      </w:pPr>
      <w:r w:rsidRPr="006F3863">
        <w:rPr>
          <w:rFonts w:ascii="Times" w:hAnsi="Times"/>
        </w:rPr>
        <w:t>Figure 2</w:t>
      </w:r>
      <w:r w:rsidR="00E62747" w:rsidRPr="006F3863">
        <w:rPr>
          <w:rFonts w:ascii="Times" w:hAnsi="Times"/>
        </w:rPr>
        <w:t xml:space="preserve"> Effect of length of seed stratification on germination percentage. A chi square test was performed individually on each seedlot. Different letters denote significance at </w:t>
      </w:r>
      <w:r w:rsidR="00E62747" w:rsidRPr="006F3863">
        <w:rPr>
          <w:rFonts w:ascii="Times" w:hAnsi="Times" w:cstheme="minorHAnsi"/>
        </w:rPr>
        <w:t>α</w:t>
      </w:r>
      <w:r w:rsidR="00E62747" w:rsidRPr="006F3863">
        <w:rPr>
          <w:rFonts w:ascii="Times" w:hAnsi="Times"/>
        </w:rPr>
        <w:t>=0.05.</w:t>
      </w:r>
    </w:p>
    <w:p w14:paraId="7845AF77" w14:textId="77777777" w:rsidR="00E62747" w:rsidRPr="006F3863" w:rsidRDefault="00E62747" w:rsidP="006F3863">
      <w:pPr>
        <w:spacing w:line="240" w:lineRule="auto"/>
        <w:rPr>
          <w:rFonts w:ascii="Times" w:hAnsi="Times"/>
        </w:rPr>
      </w:pPr>
    </w:p>
    <w:p w14:paraId="246971BA" w14:textId="77777777" w:rsidR="00E62747" w:rsidRPr="006F3863" w:rsidRDefault="00E62747" w:rsidP="006F3863">
      <w:pPr>
        <w:spacing w:line="240" w:lineRule="auto"/>
        <w:rPr>
          <w:rFonts w:ascii="Times" w:hAnsi="Times"/>
        </w:rPr>
      </w:pPr>
    </w:p>
    <w:p w14:paraId="7C3CAC08" w14:textId="77777777" w:rsidR="00E62747" w:rsidRPr="006F3863" w:rsidRDefault="00E62747" w:rsidP="006F3863">
      <w:pPr>
        <w:spacing w:line="240" w:lineRule="auto"/>
        <w:rPr>
          <w:rFonts w:ascii="Times" w:hAnsi="Times"/>
        </w:rPr>
      </w:pPr>
    </w:p>
    <w:p w14:paraId="3EA0A957" w14:textId="77777777" w:rsidR="00E62747" w:rsidRPr="006F3863" w:rsidRDefault="00E62747" w:rsidP="006F3863">
      <w:pPr>
        <w:spacing w:line="240" w:lineRule="auto"/>
        <w:rPr>
          <w:rFonts w:ascii="Times" w:hAnsi="Times"/>
        </w:rPr>
      </w:pPr>
    </w:p>
    <w:p w14:paraId="348D40F4" w14:textId="77777777" w:rsidR="00E62747" w:rsidRPr="006F3863" w:rsidRDefault="00E62747" w:rsidP="006F3863">
      <w:pPr>
        <w:spacing w:line="240" w:lineRule="auto"/>
        <w:rPr>
          <w:rFonts w:ascii="Times" w:hAnsi="Times"/>
        </w:rPr>
      </w:pPr>
    </w:p>
    <w:p w14:paraId="2A019C05" w14:textId="77777777" w:rsidR="00E62747" w:rsidRPr="006F3863" w:rsidRDefault="00E62747" w:rsidP="006F3863">
      <w:pPr>
        <w:spacing w:line="240" w:lineRule="auto"/>
        <w:rPr>
          <w:rFonts w:ascii="Times" w:hAnsi="Times"/>
        </w:rPr>
      </w:pPr>
    </w:p>
    <w:p w14:paraId="1ACB3B51" w14:textId="77777777" w:rsidR="00E62747" w:rsidRPr="006F3863" w:rsidRDefault="00E62747" w:rsidP="006F3863">
      <w:pPr>
        <w:spacing w:line="240" w:lineRule="auto"/>
        <w:rPr>
          <w:rFonts w:ascii="Times" w:hAnsi="Times"/>
        </w:rPr>
      </w:pPr>
    </w:p>
    <w:p w14:paraId="01AF618E" w14:textId="77777777" w:rsidR="00E62747" w:rsidRPr="006F3863" w:rsidRDefault="00E62747" w:rsidP="006F3863">
      <w:pPr>
        <w:spacing w:line="240" w:lineRule="auto"/>
        <w:rPr>
          <w:rFonts w:ascii="Times" w:hAnsi="Times"/>
        </w:rPr>
      </w:pPr>
    </w:p>
    <w:p w14:paraId="403E30DE" w14:textId="77777777" w:rsidR="00E62747" w:rsidRPr="006F3863" w:rsidRDefault="00E62747" w:rsidP="006F3863">
      <w:pPr>
        <w:spacing w:line="240" w:lineRule="auto"/>
        <w:rPr>
          <w:rFonts w:ascii="Times" w:hAnsi="Times"/>
        </w:rPr>
      </w:pPr>
    </w:p>
    <w:p w14:paraId="2CE59BE7" w14:textId="77777777" w:rsidR="00E62747" w:rsidRPr="006F3863" w:rsidRDefault="00E62747" w:rsidP="006F3863">
      <w:pPr>
        <w:spacing w:line="240" w:lineRule="auto"/>
        <w:rPr>
          <w:rFonts w:ascii="Times" w:hAnsi="Times"/>
        </w:rPr>
      </w:pPr>
    </w:p>
    <w:p w14:paraId="7F9AC2EF" w14:textId="77777777" w:rsidR="00E62747" w:rsidRPr="006F3863" w:rsidRDefault="00E62747" w:rsidP="006F3863">
      <w:pPr>
        <w:spacing w:line="240" w:lineRule="auto"/>
        <w:rPr>
          <w:rFonts w:ascii="Times" w:hAnsi="Times"/>
        </w:rPr>
      </w:pPr>
    </w:p>
    <w:tbl>
      <w:tblPr>
        <w:tblStyle w:val="Tablaconcuadrcula"/>
        <w:tblW w:w="9564" w:type="dxa"/>
        <w:tblLook w:val="04A0" w:firstRow="1" w:lastRow="0" w:firstColumn="1" w:lastColumn="0" w:noHBand="0" w:noVBand="1"/>
      </w:tblPr>
      <w:tblGrid>
        <w:gridCol w:w="2060"/>
        <w:gridCol w:w="805"/>
        <w:gridCol w:w="984"/>
        <w:gridCol w:w="1162"/>
        <w:gridCol w:w="1162"/>
        <w:gridCol w:w="1251"/>
        <w:gridCol w:w="1198"/>
        <w:gridCol w:w="954"/>
      </w:tblGrid>
      <w:tr w:rsidR="00E62747" w:rsidRPr="006F3863" w14:paraId="0C28C94C" w14:textId="77777777" w:rsidTr="00E62747">
        <w:trPr>
          <w:trHeight w:val="300"/>
        </w:trPr>
        <w:tc>
          <w:tcPr>
            <w:tcW w:w="1998" w:type="dxa"/>
            <w:noWrap/>
            <w:hideMark/>
          </w:tcPr>
          <w:p w14:paraId="6F3538BE" w14:textId="77777777" w:rsidR="00E62747" w:rsidRPr="006F3863" w:rsidRDefault="00E62747" w:rsidP="006F3863">
            <w:pPr>
              <w:rPr>
                <w:rFonts w:ascii="Times" w:eastAsia="Times New Roman" w:hAnsi="Times" w:cs="Calibri"/>
                <w:b/>
                <w:bCs/>
                <w:color w:val="000000"/>
              </w:rPr>
            </w:pPr>
            <w:r w:rsidRPr="006F3863">
              <w:rPr>
                <w:rFonts w:ascii="Times" w:eastAsia="Times New Roman" w:hAnsi="Times" w:cs="Calibri"/>
                <w:b/>
                <w:bCs/>
                <w:color w:val="000000"/>
              </w:rPr>
              <w:t>Seedlot</w:t>
            </w:r>
          </w:p>
        </w:tc>
        <w:tc>
          <w:tcPr>
            <w:tcW w:w="810" w:type="dxa"/>
            <w:noWrap/>
            <w:hideMark/>
          </w:tcPr>
          <w:p w14:paraId="67CEBCD8" w14:textId="77777777" w:rsidR="00E62747" w:rsidRPr="006F3863" w:rsidRDefault="00E62747" w:rsidP="006F3863">
            <w:pPr>
              <w:rPr>
                <w:rFonts w:ascii="Times" w:eastAsia="Times New Roman" w:hAnsi="Times" w:cs="Calibri"/>
                <w:b/>
                <w:bCs/>
                <w:color w:val="000000"/>
              </w:rPr>
            </w:pPr>
            <w:r w:rsidRPr="006F3863">
              <w:rPr>
                <w:rFonts w:ascii="Times" w:eastAsia="Times New Roman" w:hAnsi="Times" w:cs="Calibri"/>
                <w:b/>
                <w:bCs/>
                <w:color w:val="000000"/>
              </w:rPr>
              <w:t>Sow Year</w:t>
            </w:r>
          </w:p>
        </w:tc>
        <w:tc>
          <w:tcPr>
            <w:tcW w:w="990" w:type="dxa"/>
            <w:noWrap/>
            <w:hideMark/>
          </w:tcPr>
          <w:p w14:paraId="012F92FF" w14:textId="77777777" w:rsidR="00E62747" w:rsidRPr="006F3863" w:rsidRDefault="00E62747" w:rsidP="006F3863">
            <w:pPr>
              <w:rPr>
                <w:rFonts w:ascii="Times" w:eastAsia="Times New Roman" w:hAnsi="Times" w:cs="Calibri"/>
                <w:b/>
                <w:bCs/>
                <w:color w:val="000000"/>
              </w:rPr>
            </w:pPr>
            <w:r w:rsidRPr="006F3863">
              <w:rPr>
                <w:rFonts w:ascii="Times" w:eastAsia="Times New Roman" w:hAnsi="Times" w:cs="Calibri"/>
                <w:b/>
                <w:bCs/>
                <w:color w:val="000000"/>
              </w:rPr>
              <w:t>Sow Date</w:t>
            </w:r>
          </w:p>
        </w:tc>
        <w:tc>
          <w:tcPr>
            <w:tcW w:w="1170" w:type="dxa"/>
            <w:noWrap/>
            <w:hideMark/>
          </w:tcPr>
          <w:p w14:paraId="19270307" w14:textId="77777777" w:rsidR="00E62747" w:rsidRPr="006F3863" w:rsidRDefault="00BC098B" w:rsidP="006F3863">
            <w:pPr>
              <w:rPr>
                <w:rFonts w:ascii="Times" w:eastAsia="Times New Roman" w:hAnsi="Times" w:cs="Calibri"/>
                <w:b/>
                <w:bCs/>
                <w:color w:val="000000"/>
              </w:rPr>
            </w:pPr>
            <w:r w:rsidRPr="006F3863">
              <w:rPr>
                <w:rFonts w:ascii="Times" w:eastAsia="Times New Roman" w:hAnsi="Times" w:cs="Calibri"/>
                <w:b/>
                <w:bCs/>
                <w:color w:val="000000"/>
              </w:rPr>
              <w:t>Seed</w:t>
            </w:r>
            <w:r w:rsidR="00E62747" w:rsidRPr="006F3863">
              <w:rPr>
                <w:rFonts w:ascii="Times" w:eastAsia="Times New Roman" w:hAnsi="Times" w:cs="Calibri"/>
                <w:b/>
                <w:bCs/>
                <w:color w:val="000000"/>
              </w:rPr>
              <w:t xml:space="preserve"> Zone</w:t>
            </w:r>
          </w:p>
        </w:tc>
        <w:tc>
          <w:tcPr>
            <w:tcW w:w="1170" w:type="dxa"/>
            <w:noWrap/>
            <w:hideMark/>
          </w:tcPr>
          <w:p w14:paraId="08ABD47A" w14:textId="77777777" w:rsidR="00E62747" w:rsidRPr="006F3863" w:rsidRDefault="00E62747" w:rsidP="006F3863">
            <w:pPr>
              <w:rPr>
                <w:rFonts w:ascii="Times" w:eastAsia="Times New Roman" w:hAnsi="Times" w:cs="Calibri"/>
                <w:b/>
                <w:bCs/>
                <w:color w:val="000000"/>
              </w:rPr>
            </w:pPr>
            <w:r w:rsidRPr="006F3863">
              <w:rPr>
                <w:rFonts w:ascii="Times" w:eastAsia="Times New Roman" w:hAnsi="Times" w:cs="Calibri"/>
                <w:b/>
                <w:bCs/>
                <w:color w:val="000000"/>
              </w:rPr>
              <w:t>Collection Year</w:t>
            </w:r>
          </w:p>
        </w:tc>
        <w:tc>
          <w:tcPr>
            <w:tcW w:w="1260" w:type="dxa"/>
            <w:noWrap/>
            <w:hideMark/>
          </w:tcPr>
          <w:p w14:paraId="4302FC63" w14:textId="77777777" w:rsidR="00E62747" w:rsidRPr="006F3863" w:rsidRDefault="00E62747" w:rsidP="006F3863">
            <w:pPr>
              <w:rPr>
                <w:rFonts w:ascii="Times" w:eastAsia="Times New Roman" w:hAnsi="Times" w:cs="Calibri"/>
                <w:b/>
                <w:bCs/>
                <w:color w:val="000000"/>
              </w:rPr>
            </w:pPr>
            <w:r w:rsidRPr="006F3863">
              <w:rPr>
                <w:rFonts w:ascii="Times" w:eastAsia="Times New Roman" w:hAnsi="Times" w:cs="Calibri"/>
                <w:b/>
                <w:bCs/>
                <w:color w:val="000000"/>
              </w:rPr>
              <w:t>Elevation</w:t>
            </w:r>
          </w:p>
        </w:tc>
        <w:tc>
          <w:tcPr>
            <w:tcW w:w="1206" w:type="dxa"/>
            <w:noWrap/>
            <w:hideMark/>
          </w:tcPr>
          <w:p w14:paraId="64993CAA" w14:textId="77777777" w:rsidR="00E62747" w:rsidRPr="006F3863" w:rsidRDefault="00E62747" w:rsidP="006F3863">
            <w:pPr>
              <w:rPr>
                <w:rFonts w:ascii="Times" w:eastAsia="Times New Roman" w:hAnsi="Times" w:cs="Calibri"/>
                <w:b/>
                <w:bCs/>
                <w:color w:val="000000"/>
              </w:rPr>
            </w:pPr>
            <w:r w:rsidRPr="006F3863">
              <w:rPr>
                <w:rFonts w:ascii="Times" w:eastAsia="Times New Roman" w:hAnsi="Times" w:cs="Calibri"/>
                <w:b/>
                <w:bCs/>
                <w:color w:val="000000"/>
              </w:rPr>
              <w:t xml:space="preserve">Cold Strat </w:t>
            </w:r>
            <w:r w:rsidRPr="006F3863">
              <w:rPr>
                <w:rFonts w:ascii="Times" w:eastAsia="Times New Roman" w:hAnsi="Times" w:cs="Calibri"/>
                <w:b/>
                <w:bCs/>
                <w:color w:val="000000"/>
              </w:rPr>
              <w:lastRenderedPageBreak/>
              <w:t>Days</w:t>
            </w:r>
          </w:p>
        </w:tc>
        <w:tc>
          <w:tcPr>
            <w:tcW w:w="960" w:type="dxa"/>
            <w:noWrap/>
            <w:hideMark/>
          </w:tcPr>
          <w:p w14:paraId="65B92E0E" w14:textId="77777777" w:rsidR="00E62747" w:rsidRPr="006F3863" w:rsidRDefault="00E62747" w:rsidP="006F3863">
            <w:pPr>
              <w:rPr>
                <w:rFonts w:ascii="Times" w:eastAsia="Times New Roman" w:hAnsi="Times" w:cs="Calibri"/>
                <w:b/>
                <w:bCs/>
                <w:color w:val="000000"/>
              </w:rPr>
            </w:pPr>
            <w:r w:rsidRPr="006F3863">
              <w:rPr>
                <w:rFonts w:ascii="Times" w:eastAsia="Times New Roman" w:hAnsi="Times" w:cs="Calibri"/>
                <w:b/>
                <w:bCs/>
                <w:color w:val="000000"/>
              </w:rPr>
              <w:lastRenderedPageBreak/>
              <w:t>Germ %</w:t>
            </w:r>
          </w:p>
        </w:tc>
      </w:tr>
      <w:tr w:rsidR="00E62747" w:rsidRPr="006F3863" w14:paraId="7E1D95D9" w14:textId="77777777" w:rsidTr="00E62747">
        <w:trPr>
          <w:trHeight w:val="300"/>
        </w:trPr>
        <w:tc>
          <w:tcPr>
            <w:tcW w:w="1998" w:type="dxa"/>
            <w:noWrap/>
            <w:hideMark/>
          </w:tcPr>
          <w:p w14:paraId="13BF25E7"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lastRenderedPageBreak/>
              <w:t>GROUSEMTN09</w:t>
            </w:r>
          </w:p>
        </w:tc>
        <w:tc>
          <w:tcPr>
            <w:tcW w:w="810" w:type="dxa"/>
            <w:noWrap/>
            <w:hideMark/>
          </w:tcPr>
          <w:p w14:paraId="271DD8B9"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2011</w:t>
            </w:r>
          </w:p>
        </w:tc>
        <w:tc>
          <w:tcPr>
            <w:tcW w:w="990" w:type="dxa"/>
            <w:noWrap/>
            <w:hideMark/>
          </w:tcPr>
          <w:p w14:paraId="3F1007D3"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4-May</w:t>
            </w:r>
          </w:p>
        </w:tc>
        <w:tc>
          <w:tcPr>
            <w:tcW w:w="1170" w:type="dxa"/>
            <w:noWrap/>
            <w:hideMark/>
          </w:tcPr>
          <w:p w14:paraId="65090297"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GYGT</w:t>
            </w:r>
          </w:p>
        </w:tc>
        <w:tc>
          <w:tcPr>
            <w:tcW w:w="1170" w:type="dxa"/>
            <w:noWrap/>
            <w:hideMark/>
          </w:tcPr>
          <w:p w14:paraId="25B54C00"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2009</w:t>
            </w:r>
          </w:p>
        </w:tc>
        <w:tc>
          <w:tcPr>
            <w:tcW w:w="1260" w:type="dxa"/>
            <w:noWrap/>
            <w:hideMark/>
          </w:tcPr>
          <w:p w14:paraId="37315A1E"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6.2</w:t>
            </w:r>
          </w:p>
        </w:tc>
        <w:tc>
          <w:tcPr>
            <w:tcW w:w="1206" w:type="dxa"/>
            <w:noWrap/>
            <w:hideMark/>
          </w:tcPr>
          <w:p w14:paraId="7B5AFAA0"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60</w:t>
            </w:r>
          </w:p>
        </w:tc>
        <w:tc>
          <w:tcPr>
            <w:tcW w:w="960" w:type="dxa"/>
            <w:noWrap/>
            <w:hideMark/>
          </w:tcPr>
          <w:p w14:paraId="6C4DC222"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36.5%</w:t>
            </w:r>
          </w:p>
        </w:tc>
      </w:tr>
      <w:tr w:rsidR="00E62747" w:rsidRPr="006F3863" w14:paraId="21A7558C" w14:textId="77777777" w:rsidTr="00E62747">
        <w:trPr>
          <w:trHeight w:val="300"/>
        </w:trPr>
        <w:tc>
          <w:tcPr>
            <w:tcW w:w="1998" w:type="dxa"/>
            <w:noWrap/>
            <w:hideMark/>
          </w:tcPr>
          <w:p w14:paraId="500A9DA4"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UNIONPASS09</w:t>
            </w:r>
          </w:p>
        </w:tc>
        <w:tc>
          <w:tcPr>
            <w:tcW w:w="810" w:type="dxa"/>
            <w:noWrap/>
            <w:hideMark/>
          </w:tcPr>
          <w:p w14:paraId="424E8780"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2011</w:t>
            </w:r>
          </w:p>
        </w:tc>
        <w:tc>
          <w:tcPr>
            <w:tcW w:w="990" w:type="dxa"/>
            <w:noWrap/>
            <w:hideMark/>
          </w:tcPr>
          <w:p w14:paraId="59B11B0E"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25-Jan</w:t>
            </w:r>
          </w:p>
        </w:tc>
        <w:tc>
          <w:tcPr>
            <w:tcW w:w="1170" w:type="dxa"/>
            <w:noWrap/>
            <w:hideMark/>
          </w:tcPr>
          <w:p w14:paraId="7A67D4F4"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GYGT</w:t>
            </w:r>
          </w:p>
        </w:tc>
        <w:tc>
          <w:tcPr>
            <w:tcW w:w="1170" w:type="dxa"/>
            <w:noWrap/>
            <w:hideMark/>
          </w:tcPr>
          <w:p w14:paraId="7C6191EB"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2009</w:t>
            </w:r>
          </w:p>
        </w:tc>
        <w:tc>
          <w:tcPr>
            <w:tcW w:w="1260" w:type="dxa"/>
            <w:noWrap/>
            <w:hideMark/>
          </w:tcPr>
          <w:p w14:paraId="4627D92F"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6.5</w:t>
            </w:r>
          </w:p>
        </w:tc>
        <w:tc>
          <w:tcPr>
            <w:tcW w:w="1206" w:type="dxa"/>
            <w:noWrap/>
            <w:hideMark/>
          </w:tcPr>
          <w:p w14:paraId="01C3C0D0"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60</w:t>
            </w:r>
          </w:p>
        </w:tc>
        <w:tc>
          <w:tcPr>
            <w:tcW w:w="960" w:type="dxa"/>
            <w:noWrap/>
            <w:hideMark/>
          </w:tcPr>
          <w:p w14:paraId="4DC88BC8"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36.1%</w:t>
            </w:r>
          </w:p>
        </w:tc>
      </w:tr>
      <w:tr w:rsidR="00E62747" w:rsidRPr="006F3863" w14:paraId="23AE3D4C" w14:textId="77777777" w:rsidTr="00E62747">
        <w:trPr>
          <w:trHeight w:val="300"/>
        </w:trPr>
        <w:tc>
          <w:tcPr>
            <w:tcW w:w="1998" w:type="dxa"/>
            <w:noWrap/>
            <w:hideMark/>
          </w:tcPr>
          <w:p w14:paraId="2B8996D4"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SAWTELL09</w:t>
            </w:r>
          </w:p>
        </w:tc>
        <w:tc>
          <w:tcPr>
            <w:tcW w:w="810" w:type="dxa"/>
            <w:noWrap/>
            <w:hideMark/>
          </w:tcPr>
          <w:p w14:paraId="586C1AFB"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2011</w:t>
            </w:r>
          </w:p>
        </w:tc>
        <w:tc>
          <w:tcPr>
            <w:tcW w:w="990" w:type="dxa"/>
            <w:noWrap/>
            <w:hideMark/>
          </w:tcPr>
          <w:p w14:paraId="4653F277"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2-Feb</w:t>
            </w:r>
          </w:p>
        </w:tc>
        <w:tc>
          <w:tcPr>
            <w:tcW w:w="1170" w:type="dxa"/>
            <w:noWrap/>
            <w:hideMark/>
          </w:tcPr>
          <w:p w14:paraId="1D898C8F"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GYGT</w:t>
            </w:r>
          </w:p>
        </w:tc>
        <w:tc>
          <w:tcPr>
            <w:tcW w:w="1170" w:type="dxa"/>
            <w:noWrap/>
            <w:hideMark/>
          </w:tcPr>
          <w:p w14:paraId="40E20ECF"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2009</w:t>
            </w:r>
          </w:p>
        </w:tc>
        <w:tc>
          <w:tcPr>
            <w:tcW w:w="1260" w:type="dxa"/>
            <w:noWrap/>
            <w:hideMark/>
          </w:tcPr>
          <w:p w14:paraId="3B5EF244"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6.7</w:t>
            </w:r>
          </w:p>
        </w:tc>
        <w:tc>
          <w:tcPr>
            <w:tcW w:w="1206" w:type="dxa"/>
            <w:noWrap/>
            <w:hideMark/>
          </w:tcPr>
          <w:p w14:paraId="4480F717"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60</w:t>
            </w:r>
          </w:p>
        </w:tc>
        <w:tc>
          <w:tcPr>
            <w:tcW w:w="960" w:type="dxa"/>
            <w:noWrap/>
            <w:hideMark/>
          </w:tcPr>
          <w:p w14:paraId="229405C6"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23.5%</w:t>
            </w:r>
          </w:p>
        </w:tc>
      </w:tr>
      <w:tr w:rsidR="00E62747" w:rsidRPr="006F3863" w14:paraId="2423D962" w14:textId="77777777" w:rsidTr="00E62747">
        <w:trPr>
          <w:trHeight w:val="300"/>
        </w:trPr>
        <w:tc>
          <w:tcPr>
            <w:tcW w:w="1998" w:type="dxa"/>
            <w:noWrap/>
            <w:hideMark/>
          </w:tcPr>
          <w:p w14:paraId="6E724135"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WB02091081</w:t>
            </w:r>
          </w:p>
        </w:tc>
        <w:tc>
          <w:tcPr>
            <w:tcW w:w="810" w:type="dxa"/>
            <w:noWrap/>
            <w:hideMark/>
          </w:tcPr>
          <w:p w14:paraId="303C7BBA"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2011</w:t>
            </w:r>
          </w:p>
        </w:tc>
        <w:tc>
          <w:tcPr>
            <w:tcW w:w="990" w:type="dxa"/>
            <w:noWrap/>
            <w:hideMark/>
          </w:tcPr>
          <w:p w14:paraId="1B635096"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18-Mar</w:t>
            </w:r>
          </w:p>
        </w:tc>
        <w:tc>
          <w:tcPr>
            <w:tcW w:w="1170" w:type="dxa"/>
            <w:noWrap/>
            <w:hideMark/>
          </w:tcPr>
          <w:p w14:paraId="4C173EF1"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BTIP</w:t>
            </w:r>
          </w:p>
        </w:tc>
        <w:tc>
          <w:tcPr>
            <w:tcW w:w="1170" w:type="dxa"/>
            <w:noWrap/>
            <w:hideMark/>
          </w:tcPr>
          <w:p w14:paraId="32D68316"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2009</w:t>
            </w:r>
          </w:p>
        </w:tc>
        <w:tc>
          <w:tcPr>
            <w:tcW w:w="1260" w:type="dxa"/>
            <w:noWrap/>
            <w:hideMark/>
          </w:tcPr>
          <w:p w14:paraId="6A6FAD2B"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8.1</w:t>
            </w:r>
          </w:p>
        </w:tc>
        <w:tc>
          <w:tcPr>
            <w:tcW w:w="1206" w:type="dxa"/>
            <w:noWrap/>
            <w:hideMark/>
          </w:tcPr>
          <w:p w14:paraId="59534414"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60</w:t>
            </w:r>
          </w:p>
        </w:tc>
        <w:tc>
          <w:tcPr>
            <w:tcW w:w="960" w:type="dxa"/>
            <w:noWrap/>
            <w:hideMark/>
          </w:tcPr>
          <w:p w14:paraId="6A679DF6"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21.0%</w:t>
            </w:r>
          </w:p>
        </w:tc>
      </w:tr>
      <w:tr w:rsidR="00E62747" w:rsidRPr="006F3863" w14:paraId="5536065E" w14:textId="77777777" w:rsidTr="00E62747">
        <w:trPr>
          <w:trHeight w:val="300"/>
        </w:trPr>
        <w:tc>
          <w:tcPr>
            <w:tcW w:w="1998" w:type="dxa"/>
            <w:noWrap/>
            <w:hideMark/>
          </w:tcPr>
          <w:p w14:paraId="0E57577A"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WBP2066</w:t>
            </w:r>
          </w:p>
        </w:tc>
        <w:tc>
          <w:tcPr>
            <w:tcW w:w="810" w:type="dxa"/>
            <w:noWrap/>
            <w:hideMark/>
          </w:tcPr>
          <w:p w14:paraId="47C392C0"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34E1A8C4"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7-Jun</w:t>
            </w:r>
          </w:p>
        </w:tc>
        <w:tc>
          <w:tcPr>
            <w:tcW w:w="1170" w:type="dxa"/>
            <w:noWrap/>
            <w:hideMark/>
          </w:tcPr>
          <w:p w14:paraId="501438F3"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GYGT</w:t>
            </w:r>
          </w:p>
        </w:tc>
        <w:tc>
          <w:tcPr>
            <w:tcW w:w="1170" w:type="dxa"/>
            <w:noWrap/>
            <w:hideMark/>
          </w:tcPr>
          <w:p w14:paraId="32D9A2A3"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2006</w:t>
            </w:r>
          </w:p>
        </w:tc>
        <w:tc>
          <w:tcPr>
            <w:tcW w:w="1260" w:type="dxa"/>
            <w:noWrap/>
            <w:hideMark/>
          </w:tcPr>
          <w:p w14:paraId="62411151"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6.4</w:t>
            </w:r>
          </w:p>
        </w:tc>
        <w:tc>
          <w:tcPr>
            <w:tcW w:w="1206" w:type="dxa"/>
            <w:noWrap/>
            <w:hideMark/>
          </w:tcPr>
          <w:p w14:paraId="754242EA"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0A0DF9D5"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86.2%</w:t>
            </w:r>
          </w:p>
        </w:tc>
      </w:tr>
      <w:tr w:rsidR="00E62747" w:rsidRPr="006F3863" w14:paraId="306D4909" w14:textId="77777777" w:rsidTr="00E62747">
        <w:trPr>
          <w:trHeight w:val="300"/>
        </w:trPr>
        <w:tc>
          <w:tcPr>
            <w:tcW w:w="1998" w:type="dxa"/>
            <w:noWrap/>
            <w:hideMark/>
          </w:tcPr>
          <w:p w14:paraId="149F2183"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WBP2067</w:t>
            </w:r>
          </w:p>
        </w:tc>
        <w:tc>
          <w:tcPr>
            <w:tcW w:w="810" w:type="dxa"/>
            <w:noWrap/>
            <w:hideMark/>
          </w:tcPr>
          <w:p w14:paraId="37D55E81"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0F975262"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7-Jun</w:t>
            </w:r>
          </w:p>
        </w:tc>
        <w:tc>
          <w:tcPr>
            <w:tcW w:w="1170" w:type="dxa"/>
            <w:noWrap/>
            <w:hideMark/>
          </w:tcPr>
          <w:p w14:paraId="3B403312"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GYGT</w:t>
            </w:r>
          </w:p>
        </w:tc>
        <w:tc>
          <w:tcPr>
            <w:tcW w:w="1170" w:type="dxa"/>
            <w:noWrap/>
            <w:hideMark/>
          </w:tcPr>
          <w:p w14:paraId="28F41F98"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2006</w:t>
            </w:r>
          </w:p>
        </w:tc>
        <w:tc>
          <w:tcPr>
            <w:tcW w:w="1260" w:type="dxa"/>
            <w:noWrap/>
            <w:hideMark/>
          </w:tcPr>
          <w:p w14:paraId="386CCCD5"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6.0</w:t>
            </w:r>
          </w:p>
        </w:tc>
        <w:tc>
          <w:tcPr>
            <w:tcW w:w="1206" w:type="dxa"/>
            <w:noWrap/>
            <w:hideMark/>
          </w:tcPr>
          <w:p w14:paraId="40FACD36"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709F758B"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90.6%</w:t>
            </w:r>
          </w:p>
        </w:tc>
      </w:tr>
      <w:tr w:rsidR="00E62747" w:rsidRPr="006F3863" w14:paraId="091DC4A4" w14:textId="77777777" w:rsidTr="00E62747">
        <w:trPr>
          <w:trHeight w:val="300"/>
        </w:trPr>
        <w:tc>
          <w:tcPr>
            <w:tcW w:w="1998" w:type="dxa"/>
            <w:noWrap/>
            <w:hideMark/>
          </w:tcPr>
          <w:p w14:paraId="6B97BBB4"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WBP2068</w:t>
            </w:r>
          </w:p>
        </w:tc>
        <w:tc>
          <w:tcPr>
            <w:tcW w:w="810" w:type="dxa"/>
            <w:noWrap/>
            <w:hideMark/>
          </w:tcPr>
          <w:p w14:paraId="3708D5A3"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68F8A1C2"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7-Jun</w:t>
            </w:r>
          </w:p>
        </w:tc>
        <w:tc>
          <w:tcPr>
            <w:tcW w:w="1170" w:type="dxa"/>
            <w:noWrap/>
            <w:hideMark/>
          </w:tcPr>
          <w:p w14:paraId="25627DA0"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GYGT</w:t>
            </w:r>
          </w:p>
        </w:tc>
        <w:tc>
          <w:tcPr>
            <w:tcW w:w="1170" w:type="dxa"/>
            <w:noWrap/>
            <w:hideMark/>
          </w:tcPr>
          <w:p w14:paraId="4E7A170D"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2006</w:t>
            </w:r>
          </w:p>
        </w:tc>
        <w:tc>
          <w:tcPr>
            <w:tcW w:w="1260" w:type="dxa"/>
            <w:noWrap/>
            <w:hideMark/>
          </w:tcPr>
          <w:p w14:paraId="3CD322D7"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6.4</w:t>
            </w:r>
          </w:p>
        </w:tc>
        <w:tc>
          <w:tcPr>
            <w:tcW w:w="1206" w:type="dxa"/>
            <w:noWrap/>
            <w:hideMark/>
          </w:tcPr>
          <w:p w14:paraId="0AEC7923"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2CEFDDD3"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86.0%</w:t>
            </w:r>
          </w:p>
        </w:tc>
      </w:tr>
      <w:tr w:rsidR="00E62747" w:rsidRPr="006F3863" w14:paraId="2B822B2B" w14:textId="77777777" w:rsidTr="00E62747">
        <w:trPr>
          <w:trHeight w:val="300"/>
        </w:trPr>
        <w:tc>
          <w:tcPr>
            <w:tcW w:w="1998" w:type="dxa"/>
            <w:noWrap/>
            <w:hideMark/>
          </w:tcPr>
          <w:p w14:paraId="560D8B03"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NUMA</w:t>
            </w:r>
          </w:p>
        </w:tc>
        <w:tc>
          <w:tcPr>
            <w:tcW w:w="810" w:type="dxa"/>
            <w:noWrap/>
            <w:hideMark/>
          </w:tcPr>
          <w:p w14:paraId="609ADE36"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304B9B94"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7-Jun</w:t>
            </w:r>
          </w:p>
        </w:tc>
        <w:tc>
          <w:tcPr>
            <w:tcW w:w="1170" w:type="dxa"/>
            <w:noWrap/>
            <w:hideMark/>
          </w:tcPr>
          <w:p w14:paraId="5F9C4E10"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MSGP</w:t>
            </w:r>
          </w:p>
        </w:tc>
        <w:tc>
          <w:tcPr>
            <w:tcW w:w="1170" w:type="dxa"/>
            <w:noWrap/>
            <w:hideMark/>
          </w:tcPr>
          <w:p w14:paraId="0A6B98BA"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2010</w:t>
            </w:r>
          </w:p>
        </w:tc>
        <w:tc>
          <w:tcPr>
            <w:tcW w:w="1260" w:type="dxa"/>
            <w:noWrap/>
            <w:hideMark/>
          </w:tcPr>
          <w:p w14:paraId="5CCED409"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6.5</w:t>
            </w:r>
          </w:p>
        </w:tc>
        <w:tc>
          <w:tcPr>
            <w:tcW w:w="1206" w:type="dxa"/>
            <w:noWrap/>
            <w:hideMark/>
          </w:tcPr>
          <w:p w14:paraId="05A94D84"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4B0F782D"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59.9%</w:t>
            </w:r>
          </w:p>
        </w:tc>
      </w:tr>
      <w:tr w:rsidR="00E62747" w:rsidRPr="006F3863" w14:paraId="3CD5D843" w14:textId="77777777" w:rsidTr="00E62747">
        <w:trPr>
          <w:trHeight w:val="300"/>
        </w:trPr>
        <w:tc>
          <w:tcPr>
            <w:tcW w:w="1998" w:type="dxa"/>
            <w:noWrap/>
            <w:hideMark/>
          </w:tcPr>
          <w:p w14:paraId="3BBEDBC6"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WBP1262-09</w:t>
            </w:r>
          </w:p>
        </w:tc>
        <w:tc>
          <w:tcPr>
            <w:tcW w:w="810" w:type="dxa"/>
            <w:noWrap/>
            <w:hideMark/>
          </w:tcPr>
          <w:p w14:paraId="24021BE4"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7FF4AEF3"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4-Apr</w:t>
            </w:r>
          </w:p>
        </w:tc>
        <w:tc>
          <w:tcPr>
            <w:tcW w:w="1170" w:type="dxa"/>
            <w:noWrap/>
            <w:hideMark/>
          </w:tcPr>
          <w:p w14:paraId="68E89829"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GYGT</w:t>
            </w:r>
          </w:p>
        </w:tc>
        <w:tc>
          <w:tcPr>
            <w:tcW w:w="1170" w:type="dxa"/>
            <w:noWrap/>
            <w:hideMark/>
          </w:tcPr>
          <w:p w14:paraId="3E224EB6"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2009</w:t>
            </w:r>
          </w:p>
        </w:tc>
        <w:tc>
          <w:tcPr>
            <w:tcW w:w="1260" w:type="dxa"/>
            <w:noWrap/>
            <w:hideMark/>
          </w:tcPr>
          <w:p w14:paraId="45327296"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8.4</w:t>
            </w:r>
          </w:p>
        </w:tc>
        <w:tc>
          <w:tcPr>
            <w:tcW w:w="1206" w:type="dxa"/>
            <w:noWrap/>
            <w:hideMark/>
          </w:tcPr>
          <w:p w14:paraId="3B62AF7F"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53F36E28"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73.5%</w:t>
            </w:r>
          </w:p>
        </w:tc>
      </w:tr>
      <w:tr w:rsidR="00E62747" w:rsidRPr="006F3863" w14:paraId="19CBAFF9" w14:textId="77777777" w:rsidTr="00E62747">
        <w:trPr>
          <w:trHeight w:val="300"/>
        </w:trPr>
        <w:tc>
          <w:tcPr>
            <w:tcW w:w="1998" w:type="dxa"/>
            <w:noWrap/>
            <w:hideMark/>
          </w:tcPr>
          <w:p w14:paraId="72D6531C"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PRESTONPARK07</w:t>
            </w:r>
          </w:p>
        </w:tc>
        <w:tc>
          <w:tcPr>
            <w:tcW w:w="810" w:type="dxa"/>
            <w:noWrap/>
            <w:hideMark/>
          </w:tcPr>
          <w:p w14:paraId="233F5209"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4F3AD64C"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20-Mar</w:t>
            </w:r>
          </w:p>
        </w:tc>
        <w:tc>
          <w:tcPr>
            <w:tcW w:w="1170" w:type="dxa"/>
            <w:noWrap/>
            <w:hideMark/>
          </w:tcPr>
          <w:p w14:paraId="1F3BEFD6"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MSGP</w:t>
            </w:r>
          </w:p>
        </w:tc>
        <w:tc>
          <w:tcPr>
            <w:tcW w:w="1170" w:type="dxa"/>
            <w:noWrap/>
            <w:hideMark/>
          </w:tcPr>
          <w:p w14:paraId="596CB07E"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2007</w:t>
            </w:r>
          </w:p>
        </w:tc>
        <w:tc>
          <w:tcPr>
            <w:tcW w:w="1260" w:type="dxa"/>
            <w:noWrap/>
            <w:hideMark/>
          </w:tcPr>
          <w:p w14:paraId="39BBC41D"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8.7</w:t>
            </w:r>
          </w:p>
        </w:tc>
        <w:tc>
          <w:tcPr>
            <w:tcW w:w="1206" w:type="dxa"/>
            <w:noWrap/>
            <w:hideMark/>
          </w:tcPr>
          <w:p w14:paraId="735F6D6A"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2EF57664"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57.9%</w:t>
            </w:r>
          </w:p>
        </w:tc>
      </w:tr>
      <w:tr w:rsidR="00E62747" w:rsidRPr="006F3863" w14:paraId="52931B0C" w14:textId="77777777" w:rsidTr="00E62747">
        <w:trPr>
          <w:trHeight w:val="300"/>
        </w:trPr>
        <w:tc>
          <w:tcPr>
            <w:tcW w:w="1998" w:type="dxa"/>
            <w:noWrap/>
            <w:hideMark/>
          </w:tcPr>
          <w:p w14:paraId="362AAE89"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SURPRISE10</w:t>
            </w:r>
          </w:p>
        </w:tc>
        <w:tc>
          <w:tcPr>
            <w:tcW w:w="810" w:type="dxa"/>
            <w:noWrap/>
            <w:hideMark/>
          </w:tcPr>
          <w:p w14:paraId="1E7697C3"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46A8CD16"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20-Mar</w:t>
            </w:r>
          </w:p>
        </w:tc>
        <w:tc>
          <w:tcPr>
            <w:tcW w:w="1170" w:type="dxa"/>
            <w:noWrap/>
            <w:hideMark/>
          </w:tcPr>
          <w:p w14:paraId="54D09623"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GYGT</w:t>
            </w:r>
          </w:p>
        </w:tc>
        <w:tc>
          <w:tcPr>
            <w:tcW w:w="1170" w:type="dxa"/>
            <w:noWrap/>
            <w:hideMark/>
          </w:tcPr>
          <w:p w14:paraId="611CB20D"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2010</w:t>
            </w:r>
          </w:p>
        </w:tc>
        <w:tc>
          <w:tcPr>
            <w:tcW w:w="1260" w:type="dxa"/>
            <w:noWrap/>
            <w:hideMark/>
          </w:tcPr>
          <w:p w14:paraId="24E787CC"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1206" w:type="dxa"/>
            <w:noWrap/>
            <w:hideMark/>
          </w:tcPr>
          <w:p w14:paraId="6151663D"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0ACC16CB"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60.3%</w:t>
            </w:r>
          </w:p>
        </w:tc>
      </w:tr>
      <w:tr w:rsidR="00E62747" w:rsidRPr="006F3863" w14:paraId="269D2798" w14:textId="77777777" w:rsidTr="00E62747">
        <w:trPr>
          <w:trHeight w:val="300"/>
        </w:trPr>
        <w:tc>
          <w:tcPr>
            <w:tcW w:w="1998" w:type="dxa"/>
            <w:noWrap/>
            <w:hideMark/>
          </w:tcPr>
          <w:p w14:paraId="70818920"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BURKE09</w:t>
            </w:r>
          </w:p>
        </w:tc>
        <w:tc>
          <w:tcPr>
            <w:tcW w:w="810" w:type="dxa"/>
            <w:noWrap/>
            <w:hideMark/>
          </w:tcPr>
          <w:p w14:paraId="347694CD"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44373FD5"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20-Mar</w:t>
            </w:r>
          </w:p>
        </w:tc>
        <w:tc>
          <w:tcPr>
            <w:tcW w:w="1170" w:type="dxa"/>
            <w:noWrap/>
            <w:hideMark/>
          </w:tcPr>
          <w:p w14:paraId="1698B389"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SKCS</w:t>
            </w:r>
          </w:p>
        </w:tc>
        <w:tc>
          <w:tcPr>
            <w:tcW w:w="1170" w:type="dxa"/>
            <w:noWrap/>
            <w:hideMark/>
          </w:tcPr>
          <w:p w14:paraId="7B2C4A7C"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2009</w:t>
            </w:r>
          </w:p>
        </w:tc>
        <w:tc>
          <w:tcPr>
            <w:tcW w:w="1260" w:type="dxa"/>
            <w:noWrap/>
            <w:hideMark/>
          </w:tcPr>
          <w:p w14:paraId="6D326E55"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9.3</w:t>
            </w:r>
          </w:p>
        </w:tc>
        <w:tc>
          <w:tcPr>
            <w:tcW w:w="1206" w:type="dxa"/>
            <w:noWrap/>
            <w:hideMark/>
          </w:tcPr>
          <w:p w14:paraId="42BF9350"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4A833536"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58.0%</w:t>
            </w:r>
          </w:p>
        </w:tc>
      </w:tr>
      <w:tr w:rsidR="00E62747" w:rsidRPr="006F3863" w14:paraId="1F1D9F06" w14:textId="77777777" w:rsidTr="00E62747">
        <w:trPr>
          <w:trHeight w:val="300"/>
        </w:trPr>
        <w:tc>
          <w:tcPr>
            <w:tcW w:w="1998" w:type="dxa"/>
            <w:noWrap/>
            <w:hideMark/>
          </w:tcPr>
          <w:p w14:paraId="7604B6ED"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WHITECALF</w:t>
            </w:r>
          </w:p>
        </w:tc>
        <w:tc>
          <w:tcPr>
            <w:tcW w:w="810" w:type="dxa"/>
            <w:noWrap/>
            <w:hideMark/>
          </w:tcPr>
          <w:p w14:paraId="2DEA9198"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1AE0327D"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20-Mar</w:t>
            </w:r>
          </w:p>
        </w:tc>
        <w:tc>
          <w:tcPr>
            <w:tcW w:w="1170" w:type="dxa"/>
            <w:noWrap/>
            <w:hideMark/>
          </w:tcPr>
          <w:p w14:paraId="25FD96B7"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MSGP</w:t>
            </w:r>
          </w:p>
        </w:tc>
        <w:tc>
          <w:tcPr>
            <w:tcW w:w="1170" w:type="dxa"/>
            <w:noWrap/>
            <w:hideMark/>
          </w:tcPr>
          <w:p w14:paraId="0C8BB1E4"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2010</w:t>
            </w:r>
          </w:p>
        </w:tc>
        <w:tc>
          <w:tcPr>
            <w:tcW w:w="1260" w:type="dxa"/>
            <w:noWrap/>
            <w:hideMark/>
          </w:tcPr>
          <w:p w14:paraId="66342F46"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8.9</w:t>
            </w:r>
          </w:p>
        </w:tc>
        <w:tc>
          <w:tcPr>
            <w:tcW w:w="1206" w:type="dxa"/>
            <w:noWrap/>
            <w:hideMark/>
          </w:tcPr>
          <w:p w14:paraId="7B067A26"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42890F52"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88.8%</w:t>
            </w:r>
          </w:p>
        </w:tc>
      </w:tr>
      <w:tr w:rsidR="00E62747" w:rsidRPr="006F3863" w14:paraId="6BD4EE9C" w14:textId="77777777" w:rsidTr="00E62747">
        <w:trPr>
          <w:trHeight w:val="300"/>
        </w:trPr>
        <w:tc>
          <w:tcPr>
            <w:tcW w:w="1998" w:type="dxa"/>
            <w:noWrap/>
            <w:hideMark/>
          </w:tcPr>
          <w:p w14:paraId="4E6A61AD"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WB14091093</w:t>
            </w:r>
          </w:p>
        </w:tc>
        <w:tc>
          <w:tcPr>
            <w:tcW w:w="810" w:type="dxa"/>
            <w:noWrap/>
            <w:hideMark/>
          </w:tcPr>
          <w:p w14:paraId="62320209"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33850B75"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28-Feb</w:t>
            </w:r>
          </w:p>
        </w:tc>
        <w:tc>
          <w:tcPr>
            <w:tcW w:w="1170" w:type="dxa"/>
            <w:noWrap/>
            <w:hideMark/>
          </w:tcPr>
          <w:p w14:paraId="12154878"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BTIP</w:t>
            </w:r>
          </w:p>
        </w:tc>
        <w:tc>
          <w:tcPr>
            <w:tcW w:w="1170" w:type="dxa"/>
            <w:noWrap/>
            <w:hideMark/>
          </w:tcPr>
          <w:p w14:paraId="5589E993"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2009</w:t>
            </w:r>
          </w:p>
        </w:tc>
        <w:tc>
          <w:tcPr>
            <w:tcW w:w="1260" w:type="dxa"/>
            <w:noWrap/>
            <w:hideMark/>
          </w:tcPr>
          <w:p w14:paraId="26D29F45"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8.1</w:t>
            </w:r>
          </w:p>
        </w:tc>
        <w:tc>
          <w:tcPr>
            <w:tcW w:w="1206" w:type="dxa"/>
            <w:noWrap/>
            <w:hideMark/>
          </w:tcPr>
          <w:p w14:paraId="7934DEFF"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7C5BE108"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63.0%</w:t>
            </w:r>
          </w:p>
        </w:tc>
      </w:tr>
      <w:tr w:rsidR="00E62747" w:rsidRPr="006F3863" w14:paraId="7C228B4C" w14:textId="77777777" w:rsidTr="00E62747">
        <w:trPr>
          <w:trHeight w:val="300"/>
        </w:trPr>
        <w:tc>
          <w:tcPr>
            <w:tcW w:w="1998" w:type="dxa"/>
            <w:noWrap/>
            <w:hideMark/>
          </w:tcPr>
          <w:p w14:paraId="62D2B681"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GROUSEMTN09</w:t>
            </w:r>
          </w:p>
        </w:tc>
        <w:tc>
          <w:tcPr>
            <w:tcW w:w="810" w:type="dxa"/>
            <w:noWrap/>
            <w:hideMark/>
          </w:tcPr>
          <w:p w14:paraId="48B058FE"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3052D1DB"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26-Jan</w:t>
            </w:r>
          </w:p>
        </w:tc>
        <w:tc>
          <w:tcPr>
            <w:tcW w:w="1170" w:type="dxa"/>
            <w:noWrap/>
            <w:hideMark/>
          </w:tcPr>
          <w:p w14:paraId="74498045"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GYGT</w:t>
            </w:r>
          </w:p>
        </w:tc>
        <w:tc>
          <w:tcPr>
            <w:tcW w:w="1170" w:type="dxa"/>
            <w:noWrap/>
            <w:hideMark/>
          </w:tcPr>
          <w:p w14:paraId="42CABC5F"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2009</w:t>
            </w:r>
          </w:p>
        </w:tc>
        <w:tc>
          <w:tcPr>
            <w:tcW w:w="1260" w:type="dxa"/>
            <w:noWrap/>
            <w:hideMark/>
          </w:tcPr>
          <w:p w14:paraId="76A9522A"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6.2</w:t>
            </w:r>
          </w:p>
        </w:tc>
        <w:tc>
          <w:tcPr>
            <w:tcW w:w="1206" w:type="dxa"/>
            <w:noWrap/>
            <w:hideMark/>
          </w:tcPr>
          <w:p w14:paraId="58C2044D"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262BDF4E"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59.9%</w:t>
            </w:r>
          </w:p>
        </w:tc>
      </w:tr>
      <w:tr w:rsidR="00E62747" w:rsidRPr="006F3863" w14:paraId="7F5E1A93" w14:textId="77777777" w:rsidTr="00E62747">
        <w:trPr>
          <w:trHeight w:val="300"/>
        </w:trPr>
        <w:tc>
          <w:tcPr>
            <w:tcW w:w="1998" w:type="dxa"/>
            <w:noWrap/>
            <w:hideMark/>
          </w:tcPr>
          <w:p w14:paraId="5446EC40"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RISINGWOLF</w:t>
            </w:r>
          </w:p>
        </w:tc>
        <w:tc>
          <w:tcPr>
            <w:tcW w:w="810" w:type="dxa"/>
            <w:noWrap/>
            <w:hideMark/>
          </w:tcPr>
          <w:p w14:paraId="3FE24704"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66CB3047"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26-Jan</w:t>
            </w:r>
          </w:p>
        </w:tc>
        <w:tc>
          <w:tcPr>
            <w:tcW w:w="1170" w:type="dxa"/>
            <w:noWrap/>
            <w:hideMark/>
          </w:tcPr>
          <w:p w14:paraId="1C080D1B"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MSGP</w:t>
            </w:r>
          </w:p>
        </w:tc>
        <w:tc>
          <w:tcPr>
            <w:tcW w:w="1170" w:type="dxa"/>
            <w:noWrap/>
            <w:hideMark/>
          </w:tcPr>
          <w:p w14:paraId="7BEB7B34"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2010</w:t>
            </w:r>
          </w:p>
        </w:tc>
        <w:tc>
          <w:tcPr>
            <w:tcW w:w="1260" w:type="dxa"/>
            <w:noWrap/>
            <w:hideMark/>
          </w:tcPr>
          <w:p w14:paraId="13E27527"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1206" w:type="dxa"/>
            <w:noWrap/>
            <w:hideMark/>
          </w:tcPr>
          <w:p w14:paraId="71B50500"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488DB4CE"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71.4%</w:t>
            </w:r>
          </w:p>
        </w:tc>
      </w:tr>
      <w:tr w:rsidR="00E62747" w:rsidRPr="006F3863" w14:paraId="2C62C96D" w14:textId="77777777" w:rsidTr="00E62747">
        <w:trPr>
          <w:trHeight w:val="300"/>
        </w:trPr>
        <w:tc>
          <w:tcPr>
            <w:tcW w:w="1998" w:type="dxa"/>
            <w:noWrap/>
            <w:hideMark/>
          </w:tcPr>
          <w:p w14:paraId="582E6E24"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OLDMAN</w:t>
            </w:r>
          </w:p>
        </w:tc>
        <w:tc>
          <w:tcPr>
            <w:tcW w:w="810" w:type="dxa"/>
            <w:noWrap/>
            <w:hideMark/>
          </w:tcPr>
          <w:p w14:paraId="084434EC"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3BAEED0B"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24-Jan</w:t>
            </w:r>
          </w:p>
        </w:tc>
        <w:tc>
          <w:tcPr>
            <w:tcW w:w="1170" w:type="dxa"/>
            <w:noWrap/>
            <w:hideMark/>
          </w:tcPr>
          <w:p w14:paraId="40C89863"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MSGP</w:t>
            </w:r>
          </w:p>
        </w:tc>
        <w:tc>
          <w:tcPr>
            <w:tcW w:w="1170" w:type="dxa"/>
            <w:noWrap/>
            <w:hideMark/>
          </w:tcPr>
          <w:p w14:paraId="6A8ADC30"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2010</w:t>
            </w:r>
          </w:p>
        </w:tc>
        <w:tc>
          <w:tcPr>
            <w:tcW w:w="1260" w:type="dxa"/>
            <w:noWrap/>
            <w:hideMark/>
          </w:tcPr>
          <w:p w14:paraId="6C2E0F8D"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9.1</w:t>
            </w:r>
          </w:p>
        </w:tc>
        <w:tc>
          <w:tcPr>
            <w:tcW w:w="1206" w:type="dxa"/>
            <w:noWrap/>
            <w:hideMark/>
          </w:tcPr>
          <w:p w14:paraId="3E178690"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27922359"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78.6%</w:t>
            </w:r>
          </w:p>
        </w:tc>
      </w:tr>
      <w:tr w:rsidR="00E62747" w:rsidRPr="006F3863" w14:paraId="24413B5D" w14:textId="77777777" w:rsidTr="00E62747">
        <w:trPr>
          <w:trHeight w:val="300"/>
        </w:trPr>
        <w:tc>
          <w:tcPr>
            <w:tcW w:w="1998" w:type="dxa"/>
            <w:noWrap/>
            <w:hideMark/>
          </w:tcPr>
          <w:p w14:paraId="64D627FF"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BIGMTN11</w:t>
            </w:r>
          </w:p>
        </w:tc>
        <w:tc>
          <w:tcPr>
            <w:tcW w:w="810" w:type="dxa"/>
            <w:noWrap/>
            <w:hideMark/>
          </w:tcPr>
          <w:p w14:paraId="06C953D5"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74A1BEF5"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8-Feb</w:t>
            </w:r>
          </w:p>
        </w:tc>
        <w:tc>
          <w:tcPr>
            <w:tcW w:w="1170" w:type="dxa"/>
            <w:noWrap/>
            <w:hideMark/>
          </w:tcPr>
          <w:p w14:paraId="7C27C020"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MSGP</w:t>
            </w:r>
          </w:p>
        </w:tc>
        <w:tc>
          <w:tcPr>
            <w:tcW w:w="1170" w:type="dxa"/>
            <w:noWrap/>
            <w:hideMark/>
          </w:tcPr>
          <w:p w14:paraId="1C028709"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2011</w:t>
            </w:r>
          </w:p>
        </w:tc>
        <w:tc>
          <w:tcPr>
            <w:tcW w:w="1260" w:type="dxa"/>
            <w:noWrap/>
            <w:hideMark/>
          </w:tcPr>
          <w:p w14:paraId="28031E0B"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6.9</w:t>
            </w:r>
          </w:p>
        </w:tc>
        <w:tc>
          <w:tcPr>
            <w:tcW w:w="1206" w:type="dxa"/>
            <w:noWrap/>
            <w:hideMark/>
          </w:tcPr>
          <w:p w14:paraId="1AA44133"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2A65F3A8"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89.3%</w:t>
            </w:r>
          </w:p>
        </w:tc>
      </w:tr>
      <w:tr w:rsidR="00E62747" w:rsidRPr="006F3863" w14:paraId="6C29F971" w14:textId="77777777" w:rsidTr="00E62747">
        <w:trPr>
          <w:trHeight w:val="300"/>
        </w:trPr>
        <w:tc>
          <w:tcPr>
            <w:tcW w:w="1998" w:type="dxa"/>
            <w:noWrap/>
            <w:hideMark/>
          </w:tcPr>
          <w:p w14:paraId="758F35A0"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BETA_DESERT_NI</w:t>
            </w:r>
          </w:p>
        </w:tc>
        <w:tc>
          <w:tcPr>
            <w:tcW w:w="810" w:type="dxa"/>
            <w:noWrap/>
            <w:hideMark/>
          </w:tcPr>
          <w:p w14:paraId="120928F9"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04759707"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7-Jun</w:t>
            </w:r>
          </w:p>
        </w:tc>
        <w:tc>
          <w:tcPr>
            <w:tcW w:w="1170" w:type="dxa"/>
            <w:noWrap/>
            <w:hideMark/>
          </w:tcPr>
          <w:p w14:paraId="2E2F8E5B"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MSGP</w:t>
            </w:r>
          </w:p>
        </w:tc>
        <w:tc>
          <w:tcPr>
            <w:tcW w:w="1170" w:type="dxa"/>
            <w:noWrap/>
            <w:hideMark/>
          </w:tcPr>
          <w:p w14:paraId="71751657"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2011</w:t>
            </w:r>
          </w:p>
        </w:tc>
        <w:tc>
          <w:tcPr>
            <w:tcW w:w="1260" w:type="dxa"/>
            <w:noWrap/>
            <w:hideMark/>
          </w:tcPr>
          <w:p w14:paraId="33E70D47"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7.0</w:t>
            </w:r>
          </w:p>
        </w:tc>
        <w:tc>
          <w:tcPr>
            <w:tcW w:w="1206" w:type="dxa"/>
            <w:noWrap/>
            <w:hideMark/>
          </w:tcPr>
          <w:p w14:paraId="41F5386E"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7782B36B"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73.0%</w:t>
            </w:r>
          </w:p>
        </w:tc>
      </w:tr>
      <w:tr w:rsidR="00E62747" w:rsidRPr="006F3863" w14:paraId="0F06A879" w14:textId="77777777" w:rsidTr="00E62747">
        <w:trPr>
          <w:trHeight w:val="300"/>
        </w:trPr>
        <w:tc>
          <w:tcPr>
            <w:tcW w:w="1998" w:type="dxa"/>
            <w:noWrap/>
            <w:hideMark/>
          </w:tcPr>
          <w:p w14:paraId="215361B5"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NAPA_SUNSET11</w:t>
            </w:r>
          </w:p>
        </w:tc>
        <w:tc>
          <w:tcPr>
            <w:tcW w:w="810" w:type="dxa"/>
            <w:noWrap/>
            <w:hideMark/>
          </w:tcPr>
          <w:p w14:paraId="16D827C3"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7D7A107E"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9-May</w:t>
            </w:r>
          </w:p>
        </w:tc>
        <w:tc>
          <w:tcPr>
            <w:tcW w:w="1170" w:type="dxa"/>
            <w:noWrap/>
            <w:hideMark/>
          </w:tcPr>
          <w:p w14:paraId="4ED7BBDE"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MSGP</w:t>
            </w:r>
          </w:p>
        </w:tc>
        <w:tc>
          <w:tcPr>
            <w:tcW w:w="1170" w:type="dxa"/>
            <w:noWrap/>
            <w:hideMark/>
          </w:tcPr>
          <w:p w14:paraId="454F047F"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2011</w:t>
            </w:r>
          </w:p>
        </w:tc>
        <w:tc>
          <w:tcPr>
            <w:tcW w:w="1260" w:type="dxa"/>
            <w:noWrap/>
            <w:hideMark/>
          </w:tcPr>
          <w:p w14:paraId="036C559B"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9.1</w:t>
            </w:r>
          </w:p>
        </w:tc>
        <w:tc>
          <w:tcPr>
            <w:tcW w:w="1206" w:type="dxa"/>
            <w:noWrap/>
            <w:hideMark/>
          </w:tcPr>
          <w:p w14:paraId="6E1CCA23"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61838EB5"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82.7%</w:t>
            </w:r>
          </w:p>
        </w:tc>
      </w:tr>
      <w:tr w:rsidR="00E62747" w:rsidRPr="006F3863" w14:paraId="14AE0DFC" w14:textId="77777777" w:rsidTr="00E62747">
        <w:trPr>
          <w:trHeight w:val="300"/>
        </w:trPr>
        <w:tc>
          <w:tcPr>
            <w:tcW w:w="1998" w:type="dxa"/>
            <w:noWrap/>
            <w:hideMark/>
          </w:tcPr>
          <w:p w14:paraId="0D79E0F5"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HORNET11</w:t>
            </w:r>
          </w:p>
        </w:tc>
        <w:tc>
          <w:tcPr>
            <w:tcW w:w="810" w:type="dxa"/>
            <w:noWrap/>
            <w:hideMark/>
          </w:tcPr>
          <w:p w14:paraId="17B7D6EC"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02BCCCE4"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12-Apr</w:t>
            </w:r>
          </w:p>
        </w:tc>
        <w:tc>
          <w:tcPr>
            <w:tcW w:w="1170" w:type="dxa"/>
            <w:noWrap/>
            <w:hideMark/>
          </w:tcPr>
          <w:p w14:paraId="200D004D"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MSGP</w:t>
            </w:r>
          </w:p>
        </w:tc>
        <w:tc>
          <w:tcPr>
            <w:tcW w:w="1170" w:type="dxa"/>
            <w:noWrap/>
            <w:hideMark/>
          </w:tcPr>
          <w:p w14:paraId="2DD149AA"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2011</w:t>
            </w:r>
          </w:p>
        </w:tc>
        <w:tc>
          <w:tcPr>
            <w:tcW w:w="1260" w:type="dxa"/>
            <w:noWrap/>
            <w:hideMark/>
          </w:tcPr>
          <w:p w14:paraId="5103D85F"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6.2</w:t>
            </w:r>
          </w:p>
        </w:tc>
        <w:tc>
          <w:tcPr>
            <w:tcW w:w="1206" w:type="dxa"/>
            <w:noWrap/>
            <w:hideMark/>
          </w:tcPr>
          <w:p w14:paraId="1B9097A5"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15165455"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70.6%</w:t>
            </w:r>
          </w:p>
        </w:tc>
      </w:tr>
      <w:tr w:rsidR="00E62747" w:rsidRPr="006F3863" w14:paraId="7A0877B9" w14:textId="77777777" w:rsidTr="00E62747">
        <w:trPr>
          <w:trHeight w:val="300"/>
        </w:trPr>
        <w:tc>
          <w:tcPr>
            <w:tcW w:w="1998" w:type="dxa"/>
            <w:noWrap/>
            <w:hideMark/>
          </w:tcPr>
          <w:p w14:paraId="745B2C80"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WB02091081</w:t>
            </w:r>
          </w:p>
        </w:tc>
        <w:tc>
          <w:tcPr>
            <w:tcW w:w="810" w:type="dxa"/>
            <w:noWrap/>
            <w:hideMark/>
          </w:tcPr>
          <w:p w14:paraId="68C70DED"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376E3ECD"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23-Feb</w:t>
            </w:r>
          </w:p>
        </w:tc>
        <w:tc>
          <w:tcPr>
            <w:tcW w:w="1170" w:type="dxa"/>
            <w:noWrap/>
            <w:hideMark/>
          </w:tcPr>
          <w:p w14:paraId="1B6C020F"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BTIP</w:t>
            </w:r>
          </w:p>
        </w:tc>
        <w:tc>
          <w:tcPr>
            <w:tcW w:w="1170" w:type="dxa"/>
            <w:noWrap/>
            <w:hideMark/>
          </w:tcPr>
          <w:p w14:paraId="1997CD26"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2009</w:t>
            </w:r>
          </w:p>
        </w:tc>
        <w:tc>
          <w:tcPr>
            <w:tcW w:w="1260" w:type="dxa"/>
            <w:noWrap/>
            <w:hideMark/>
          </w:tcPr>
          <w:p w14:paraId="6FA5DA28"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8.1</w:t>
            </w:r>
          </w:p>
        </w:tc>
        <w:tc>
          <w:tcPr>
            <w:tcW w:w="1206" w:type="dxa"/>
            <w:noWrap/>
            <w:hideMark/>
          </w:tcPr>
          <w:p w14:paraId="48AF28F1"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02C27B7F"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80.6%</w:t>
            </w:r>
          </w:p>
        </w:tc>
      </w:tr>
      <w:tr w:rsidR="00E62747" w:rsidRPr="006F3863" w14:paraId="4A13D8EB" w14:textId="77777777" w:rsidTr="00E62747">
        <w:trPr>
          <w:trHeight w:val="300"/>
        </w:trPr>
        <w:tc>
          <w:tcPr>
            <w:tcW w:w="1998" w:type="dxa"/>
            <w:noWrap/>
            <w:hideMark/>
          </w:tcPr>
          <w:p w14:paraId="31E5E414"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DEADLINE11</w:t>
            </w:r>
          </w:p>
        </w:tc>
        <w:tc>
          <w:tcPr>
            <w:tcW w:w="810" w:type="dxa"/>
            <w:noWrap/>
            <w:hideMark/>
          </w:tcPr>
          <w:p w14:paraId="5B6BA503"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4BA64472"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19-Jan</w:t>
            </w:r>
          </w:p>
        </w:tc>
        <w:tc>
          <w:tcPr>
            <w:tcW w:w="1170" w:type="dxa"/>
            <w:noWrap/>
            <w:hideMark/>
          </w:tcPr>
          <w:p w14:paraId="449CB9E2"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GYGT</w:t>
            </w:r>
          </w:p>
        </w:tc>
        <w:tc>
          <w:tcPr>
            <w:tcW w:w="1170" w:type="dxa"/>
            <w:noWrap/>
            <w:hideMark/>
          </w:tcPr>
          <w:p w14:paraId="4B93DF3A"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2011</w:t>
            </w:r>
          </w:p>
        </w:tc>
        <w:tc>
          <w:tcPr>
            <w:tcW w:w="1260" w:type="dxa"/>
            <w:noWrap/>
            <w:hideMark/>
          </w:tcPr>
          <w:p w14:paraId="02E7A2E5"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10.0</w:t>
            </w:r>
          </w:p>
        </w:tc>
        <w:tc>
          <w:tcPr>
            <w:tcW w:w="1206" w:type="dxa"/>
            <w:noWrap/>
            <w:hideMark/>
          </w:tcPr>
          <w:p w14:paraId="0B60D11C"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1C42CF35"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66.6%</w:t>
            </w:r>
          </w:p>
        </w:tc>
      </w:tr>
      <w:tr w:rsidR="00E62747" w:rsidRPr="006F3863" w14:paraId="28037438" w14:textId="77777777" w:rsidTr="00E62747">
        <w:trPr>
          <w:trHeight w:val="300"/>
        </w:trPr>
        <w:tc>
          <w:tcPr>
            <w:tcW w:w="1998" w:type="dxa"/>
            <w:noWrap/>
            <w:hideMark/>
          </w:tcPr>
          <w:p w14:paraId="7675948F"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LITTLEJOE10</w:t>
            </w:r>
          </w:p>
        </w:tc>
        <w:tc>
          <w:tcPr>
            <w:tcW w:w="810" w:type="dxa"/>
            <w:noWrap/>
            <w:hideMark/>
          </w:tcPr>
          <w:p w14:paraId="17D12ABD"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4E6140A4"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20-Mar</w:t>
            </w:r>
          </w:p>
        </w:tc>
        <w:tc>
          <w:tcPr>
            <w:tcW w:w="1170" w:type="dxa"/>
            <w:noWrap/>
            <w:hideMark/>
          </w:tcPr>
          <w:p w14:paraId="03F9C553"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SKCS</w:t>
            </w:r>
          </w:p>
        </w:tc>
        <w:tc>
          <w:tcPr>
            <w:tcW w:w="1170" w:type="dxa"/>
            <w:noWrap/>
            <w:hideMark/>
          </w:tcPr>
          <w:p w14:paraId="2013AA4A"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2010</w:t>
            </w:r>
          </w:p>
        </w:tc>
        <w:tc>
          <w:tcPr>
            <w:tcW w:w="1260" w:type="dxa"/>
            <w:noWrap/>
            <w:hideMark/>
          </w:tcPr>
          <w:p w14:paraId="2D78A802"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9.5</w:t>
            </w:r>
          </w:p>
        </w:tc>
        <w:tc>
          <w:tcPr>
            <w:tcW w:w="1206" w:type="dxa"/>
            <w:noWrap/>
            <w:hideMark/>
          </w:tcPr>
          <w:p w14:paraId="08D22760"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013D4EC4"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66.9%</w:t>
            </w:r>
          </w:p>
        </w:tc>
      </w:tr>
      <w:tr w:rsidR="00E62747" w:rsidRPr="006F3863" w14:paraId="02B17DE2" w14:textId="77777777" w:rsidTr="00E62747">
        <w:trPr>
          <w:trHeight w:val="300"/>
        </w:trPr>
        <w:tc>
          <w:tcPr>
            <w:tcW w:w="1998" w:type="dxa"/>
            <w:noWrap/>
            <w:hideMark/>
          </w:tcPr>
          <w:p w14:paraId="278E58F8"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VIPONDPARK10</w:t>
            </w:r>
          </w:p>
        </w:tc>
        <w:tc>
          <w:tcPr>
            <w:tcW w:w="810" w:type="dxa"/>
            <w:noWrap/>
            <w:hideMark/>
          </w:tcPr>
          <w:p w14:paraId="1AF7F228"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3511B260"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27-Feb</w:t>
            </w:r>
          </w:p>
        </w:tc>
        <w:tc>
          <w:tcPr>
            <w:tcW w:w="1170" w:type="dxa"/>
            <w:noWrap/>
            <w:hideMark/>
          </w:tcPr>
          <w:p w14:paraId="02F4D3CC"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CLMT</w:t>
            </w:r>
          </w:p>
        </w:tc>
        <w:tc>
          <w:tcPr>
            <w:tcW w:w="1170" w:type="dxa"/>
            <w:noWrap/>
            <w:hideMark/>
          </w:tcPr>
          <w:p w14:paraId="056DFCD0"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2010</w:t>
            </w:r>
          </w:p>
        </w:tc>
        <w:tc>
          <w:tcPr>
            <w:tcW w:w="1260" w:type="dxa"/>
            <w:noWrap/>
            <w:hideMark/>
          </w:tcPr>
          <w:p w14:paraId="67885C2A"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8.6</w:t>
            </w:r>
          </w:p>
        </w:tc>
        <w:tc>
          <w:tcPr>
            <w:tcW w:w="1206" w:type="dxa"/>
            <w:noWrap/>
            <w:hideMark/>
          </w:tcPr>
          <w:p w14:paraId="7544B0F7"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6745FAC0"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67.3%</w:t>
            </w:r>
          </w:p>
        </w:tc>
      </w:tr>
      <w:tr w:rsidR="00E62747" w:rsidRPr="006F3863" w14:paraId="1EA2E0CB" w14:textId="77777777" w:rsidTr="00E62747">
        <w:trPr>
          <w:trHeight w:val="300"/>
        </w:trPr>
        <w:tc>
          <w:tcPr>
            <w:tcW w:w="1998" w:type="dxa"/>
            <w:noWrap/>
            <w:hideMark/>
          </w:tcPr>
          <w:p w14:paraId="6E36EA51"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FREEZEOUT10</w:t>
            </w:r>
          </w:p>
        </w:tc>
        <w:tc>
          <w:tcPr>
            <w:tcW w:w="810" w:type="dxa"/>
            <w:noWrap/>
            <w:hideMark/>
          </w:tcPr>
          <w:p w14:paraId="4BC80D81"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54BAE3CE"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4-Feb</w:t>
            </w:r>
          </w:p>
        </w:tc>
        <w:tc>
          <w:tcPr>
            <w:tcW w:w="1170" w:type="dxa"/>
            <w:noWrap/>
            <w:hideMark/>
          </w:tcPr>
          <w:p w14:paraId="20C23CCA"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CFLP</w:t>
            </w:r>
          </w:p>
        </w:tc>
        <w:tc>
          <w:tcPr>
            <w:tcW w:w="1170" w:type="dxa"/>
            <w:noWrap/>
            <w:hideMark/>
          </w:tcPr>
          <w:p w14:paraId="56A2DAE3"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2010</w:t>
            </w:r>
          </w:p>
        </w:tc>
        <w:tc>
          <w:tcPr>
            <w:tcW w:w="1260" w:type="dxa"/>
            <w:noWrap/>
            <w:hideMark/>
          </w:tcPr>
          <w:p w14:paraId="40B41792"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9.2</w:t>
            </w:r>
          </w:p>
        </w:tc>
        <w:tc>
          <w:tcPr>
            <w:tcW w:w="1206" w:type="dxa"/>
            <w:noWrap/>
            <w:hideMark/>
          </w:tcPr>
          <w:p w14:paraId="57F92576"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0C1F0F84"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75.8%</w:t>
            </w:r>
          </w:p>
        </w:tc>
      </w:tr>
      <w:tr w:rsidR="00E62747" w:rsidRPr="006F3863" w14:paraId="7234B1DC" w14:textId="77777777" w:rsidTr="00E62747">
        <w:trPr>
          <w:trHeight w:val="300"/>
        </w:trPr>
        <w:tc>
          <w:tcPr>
            <w:tcW w:w="1998" w:type="dxa"/>
            <w:noWrap/>
            <w:hideMark/>
          </w:tcPr>
          <w:p w14:paraId="69969B2B"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WB03030092</w:t>
            </w:r>
          </w:p>
        </w:tc>
        <w:tc>
          <w:tcPr>
            <w:tcW w:w="810" w:type="dxa"/>
            <w:noWrap/>
            <w:hideMark/>
          </w:tcPr>
          <w:p w14:paraId="51CBAF24"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0E0ACED9"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24-Feb</w:t>
            </w:r>
          </w:p>
        </w:tc>
        <w:tc>
          <w:tcPr>
            <w:tcW w:w="1170" w:type="dxa"/>
            <w:noWrap/>
            <w:hideMark/>
          </w:tcPr>
          <w:p w14:paraId="4FAE1B58"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GYGT</w:t>
            </w:r>
          </w:p>
        </w:tc>
        <w:tc>
          <w:tcPr>
            <w:tcW w:w="1170" w:type="dxa"/>
            <w:noWrap/>
            <w:hideMark/>
          </w:tcPr>
          <w:p w14:paraId="655BE7DE"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2003</w:t>
            </w:r>
          </w:p>
        </w:tc>
        <w:tc>
          <w:tcPr>
            <w:tcW w:w="1260" w:type="dxa"/>
            <w:noWrap/>
            <w:hideMark/>
          </w:tcPr>
          <w:p w14:paraId="11DB14E1"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6.3</w:t>
            </w:r>
          </w:p>
        </w:tc>
        <w:tc>
          <w:tcPr>
            <w:tcW w:w="1206" w:type="dxa"/>
            <w:noWrap/>
            <w:hideMark/>
          </w:tcPr>
          <w:p w14:paraId="1CBCBE6D"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0FE22867"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77.3%</w:t>
            </w:r>
          </w:p>
        </w:tc>
      </w:tr>
      <w:tr w:rsidR="00E62747" w:rsidRPr="006F3863" w14:paraId="13D66060" w14:textId="77777777" w:rsidTr="00E62747">
        <w:trPr>
          <w:trHeight w:val="300"/>
        </w:trPr>
        <w:tc>
          <w:tcPr>
            <w:tcW w:w="1998" w:type="dxa"/>
            <w:noWrap/>
            <w:hideMark/>
          </w:tcPr>
          <w:p w14:paraId="6A9838D5"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SAWTELL09</w:t>
            </w:r>
          </w:p>
        </w:tc>
        <w:tc>
          <w:tcPr>
            <w:tcW w:w="810" w:type="dxa"/>
            <w:noWrap/>
            <w:hideMark/>
          </w:tcPr>
          <w:p w14:paraId="6CC94394"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00327CCE"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23-Feb</w:t>
            </w:r>
          </w:p>
        </w:tc>
        <w:tc>
          <w:tcPr>
            <w:tcW w:w="1170" w:type="dxa"/>
            <w:noWrap/>
            <w:hideMark/>
          </w:tcPr>
          <w:p w14:paraId="2BEA9E03"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GYGT</w:t>
            </w:r>
          </w:p>
        </w:tc>
        <w:tc>
          <w:tcPr>
            <w:tcW w:w="1170" w:type="dxa"/>
            <w:noWrap/>
            <w:hideMark/>
          </w:tcPr>
          <w:p w14:paraId="62BCB540"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2009</w:t>
            </w:r>
          </w:p>
        </w:tc>
        <w:tc>
          <w:tcPr>
            <w:tcW w:w="1260" w:type="dxa"/>
            <w:noWrap/>
            <w:hideMark/>
          </w:tcPr>
          <w:p w14:paraId="7C825082"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6.7</w:t>
            </w:r>
          </w:p>
        </w:tc>
        <w:tc>
          <w:tcPr>
            <w:tcW w:w="1206" w:type="dxa"/>
            <w:noWrap/>
            <w:hideMark/>
          </w:tcPr>
          <w:p w14:paraId="2E577986"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6CDDCB8A"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74.5%</w:t>
            </w:r>
          </w:p>
        </w:tc>
      </w:tr>
      <w:tr w:rsidR="00E62747" w:rsidRPr="006F3863" w14:paraId="33CEF1B0" w14:textId="77777777" w:rsidTr="00E62747">
        <w:trPr>
          <w:trHeight w:val="300"/>
        </w:trPr>
        <w:tc>
          <w:tcPr>
            <w:tcW w:w="1998" w:type="dxa"/>
            <w:noWrap/>
            <w:hideMark/>
          </w:tcPr>
          <w:p w14:paraId="223C0470"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UNIONPASS09</w:t>
            </w:r>
          </w:p>
        </w:tc>
        <w:tc>
          <w:tcPr>
            <w:tcW w:w="810" w:type="dxa"/>
            <w:noWrap/>
            <w:hideMark/>
          </w:tcPr>
          <w:p w14:paraId="7383140D"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2012</w:t>
            </w:r>
          </w:p>
        </w:tc>
        <w:tc>
          <w:tcPr>
            <w:tcW w:w="990" w:type="dxa"/>
            <w:noWrap/>
            <w:hideMark/>
          </w:tcPr>
          <w:p w14:paraId="06A52EFD"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1-Feb</w:t>
            </w:r>
          </w:p>
        </w:tc>
        <w:tc>
          <w:tcPr>
            <w:tcW w:w="1170" w:type="dxa"/>
            <w:noWrap/>
            <w:hideMark/>
          </w:tcPr>
          <w:p w14:paraId="0A08418E"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GYGT</w:t>
            </w:r>
          </w:p>
        </w:tc>
        <w:tc>
          <w:tcPr>
            <w:tcW w:w="1170" w:type="dxa"/>
            <w:noWrap/>
            <w:hideMark/>
          </w:tcPr>
          <w:p w14:paraId="79C7AD6A"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2009</w:t>
            </w:r>
          </w:p>
        </w:tc>
        <w:tc>
          <w:tcPr>
            <w:tcW w:w="1260" w:type="dxa"/>
            <w:noWrap/>
            <w:hideMark/>
          </w:tcPr>
          <w:p w14:paraId="7C54AAA0"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6.5</w:t>
            </w:r>
          </w:p>
        </w:tc>
        <w:tc>
          <w:tcPr>
            <w:tcW w:w="1206" w:type="dxa"/>
            <w:noWrap/>
            <w:hideMark/>
          </w:tcPr>
          <w:p w14:paraId="5722A459"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90</w:t>
            </w:r>
          </w:p>
        </w:tc>
        <w:tc>
          <w:tcPr>
            <w:tcW w:w="960" w:type="dxa"/>
            <w:noWrap/>
            <w:hideMark/>
          </w:tcPr>
          <w:p w14:paraId="6707DDA5" w14:textId="77777777" w:rsidR="00E62747" w:rsidRPr="006F3863" w:rsidRDefault="00E62747" w:rsidP="006F3863">
            <w:pPr>
              <w:rPr>
                <w:rFonts w:ascii="Times" w:eastAsia="Times New Roman" w:hAnsi="Times" w:cs="Calibri"/>
                <w:color w:val="000000"/>
              </w:rPr>
            </w:pPr>
            <w:r w:rsidRPr="006F3863">
              <w:rPr>
                <w:rFonts w:ascii="Times" w:eastAsia="Times New Roman" w:hAnsi="Times" w:cs="Calibri"/>
                <w:color w:val="000000"/>
              </w:rPr>
              <w:t>62.8%</w:t>
            </w:r>
          </w:p>
        </w:tc>
      </w:tr>
    </w:tbl>
    <w:p w14:paraId="251AB240" w14:textId="590A9F16" w:rsidR="00E62747" w:rsidRPr="006F3863" w:rsidRDefault="00E62747" w:rsidP="006F3863">
      <w:pPr>
        <w:spacing w:line="240" w:lineRule="auto"/>
        <w:rPr>
          <w:rFonts w:ascii="Times" w:hAnsi="Times"/>
        </w:rPr>
      </w:pPr>
      <w:r w:rsidRPr="006F3863">
        <w:rPr>
          <w:rFonts w:ascii="Times" w:hAnsi="Times"/>
        </w:rPr>
        <w:t xml:space="preserve">Table 1 </w:t>
      </w:r>
      <w:r w:rsidR="00E11611" w:rsidRPr="006F3863">
        <w:rPr>
          <w:rFonts w:ascii="Times" w:hAnsi="Times"/>
        </w:rPr>
        <w:t xml:space="preserve">Whitebark pine seedlots sown in 2011 and 2012 for cold stratification length trial, with associated sowing dates, collection geography, </w:t>
      </w:r>
      <w:r w:rsidR="00BC098B" w:rsidRPr="006F3863">
        <w:rPr>
          <w:rFonts w:ascii="Times" w:hAnsi="Times"/>
        </w:rPr>
        <w:t>seed</w:t>
      </w:r>
      <w:r w:rsidR="00E11611" w:rsidRPr="006F3863">
        <w:rPr>
          <w:rFonts w:ascii="Times" w:hAnsi="Times"/>
        </w:rPr>
        <w:t xml:space="preserve"> zones, and germination percentages.</w:t>
      </w:r>
    </w:p>
    <w:sectPr w:rsidR="00E62747" w:rsidRPr="006F3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8C"/>
    <w:rsid w:val="000226C0"/>
    <w:rsid w:val="000349D4"/>
    <w:rsid w:val="00045907"/>
    <w:rsid w:val="00072A39"/>
    <w:rsid w:val="0008783B"/>
    <w:rsid w:val="000948CB"/>
    <w:rsid w:val="000A270D"/>
    <w:rsid w:val="000C042C"/>
    <w:rsid w:val="000D6EDC"/>
    <w:rsid w:val="00164F15"/>
    <w:rsid w:val="001679B4"/>
    <w:rsid w:val="001A7400"/>
    <w:rsid w:val="001D0B8B"/>
    <w:rsid w:val="001E0993"/>
    <w:rsid w:val="00204762"/>
    <w:rsid w:val="00222834"/>
    <w:rsid w:val="0022578C"/>
    <w:rsid w:val="00271A37"/>
    <w:rsid w:val="00272EB3"/>
    <w:rsid w:val="00286127"/>
    <w:rsid w:val="00286B11"/>
    <w:rsid w:val="002E2164"/>
    <w:rsid w:val="00335D35"/>
    <w:rsid w:val="003460D2"/>
    <w:rsid w:val="003516C2"/>
    <w:rsid w:val="00391249"/>
    <w:rsid w:val="003A199F"/>
    <w:rsid w:val="003D29A0"/>
    <w:rsid w:val="00452305"/>
    <w:rsid w:val="004B0C11"/>
    <w:rsid w:val="004D7745"/>
    <w:rsid w:val="00530DC8"/>
    <w:rsid w:val="00544429"/>
    <w:rsid w:val="0055274D"/>
    <w:rsid w:val="00560905"/>
    <w:rsid w:val="005A30BE"/>
    <w:rsid w:val="005A45E0"/>
    <w:rsid w:val="005C0A2E"/>
    <w:rsid w:val="005E5177"/>
    <w:rsid w:val="006171C8"/>
    <w:rsid w:val="00620B18"/>
    <w:rsid w:val="00644665"/>
    <w:rsid w:val="00665D16"/>
    <w:rsid w:val="0066735C"/>
    <w:rsid w:val="006E4B4A"/>
    <w:rsid w:val="006F3863"/>
    <w:rsid w:val="00716F1E"/>
    <w:rsid w:val="00732823"/>
    <w:rsid w:val="007550D6"/>
    <w:rsid w:val="00765905"/>
    <w:rsid w:val="00790403"/>
    <w:rsid w:val="007C3805"/>
    <w:rsid w:val="007C78C8"/>
    <w:rsid w:val="007D54D9"/>
    <w:rsid w:val="00810C8C"/>
    <w:rsid w:val="00812469"/>
    <w:rsid w:val="00832CEA"/>
    <w:rsid w:val="00853117"/>
    <w:rsid w:val="008535A1"/>
    <w:rsid w:val="0087627C"/>
    <w:rsid w:val="008939EC"/>
    <w:rsid w:val="008A102F"/>
    <w:rsid w:val="008A268B"/>
    <w:rsid w:val="008D1D9D"/>
    <w:rsid w:val="008D419B"/>
    <w:rsid w:val="008F4281"/>
    <w:rsid w:val="00912737"/>
    <w:rsid w:val="0093594A"/>
    <w:rsid w:val="00942A5F"/>
    <w:rsid w:val="00950116"/>
    <w:rsid w:val="009A0278"/>
    <w:rsid w:val="009C1140"/>
    <w:rsid w:val="009C6F9D"/>
    <w:rsid w:val="009E3AF0"/>
    <w:rsid w:val="009E3FCA"/>
    <w:rsid w:val="00A0293F"/>
    <w:rsid w:val="00A31A0B"/>
    <w:rsid w:val="00A5228F"/>
    <w:rsid w:val="00A5715F"/>
    <w:rsid w:val="00A710EF"/>
    <w:rsid w:val="00A82494"/>
    <w:rsid w:val="00AA0906"/>
    <w:rsid w:val="00AB04D7"/>
    <w:rsid w:val="00B05746"/>
    <w:rsid w:val="00B92988"/>
    <w:rsid w:val="00B96EE7"/>
    <w:rsid w:val="00BA7760"/>
    <w:rsid w:val="00BC098B"/>
    <w:rsid w:val="00BD4896"/>
    <w:rsid w:val="00BD7897"/>
    <w:rsid w:val="00BE7248"/>
    <w:rsid w:val="00BF2DB3"/>
    <w:rsid w:val="00C00380"/>
    <w:rsid w:val="00C31662"/>
    <w:rsid w:val="00C53AD7"/>
    <w:rsid w:val="00C631DA"/>
    <w:rsid w:val="00C725E4"/>
    <w:rsid w:val="00C73358"/>
    <w:rsid w:val="00C75A55"/>
    <w:rsid w:val="00C76459"/>
    <w:rsid w:val="00C82F29"/>
    <w:rsid w:val="00CA00DB"/>
    <w:rsid w:val="00CA02DF"/>
    <w:rsid w:val="00CC42B2"/>
    <w:rsid w:val="00CC6A53"/>
    <w:rsid w:val="00CD0CE0"/>
    <w:rsid w:val="00CF5D8E"/>
    <w:rsid w:val="00D03985"/>
    <w:rsid w:val="00D24CB1"/>
    <w:rsid w:val="00D328A6"/>
    <w:rsid w:val="00D37001"/>
    <w:rsid w:val="00D92E45"/>
    <w:rsid w:val="00DB6F81"/>
    <w:rsid w:val="00DC2C6E"/>
    <w:rsid w:val="00DE49BC"/>
    <w:rsid w:val="00E11611"/>
    <w:rsid w:val="00E17309"/>
    <w:rsid w:val="00E62747"/>
    <w:rsid w:val="00EA1EDB"/>
    <w:rsid w:val="00EA6B1F"/>
    <w:rsid w:val="00ED0022"/>
    <w:rsid w:val="00F22AF5"/>
    <w:rsid w:val="00F4535F"/>
    <w:rsid w:val="00F74056"/>
    <w:rsid w:val="00F85421"/>
    <w:rsid w:val="00FD626D"/>
    <w:rsid w:val="00FF0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C3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7248"/>
    <w:rPr>
      <w:color w:val="0000FF" w:themeColor="hyperlink"/>
      <w:u w:val="single"/>
    </w:rPr>
  </w:style>
  <w:style w:type="paragraph" w:styleId="Textodeglobo">
    <w:name w:val="Balloon Text"/>
    <w:basedOn w:val="Normal"/>
    <w:link w:val="TextodegloboCar"/>
    <w:uiPriority w:val="99"/>
    <w:semiHidden/>
    <w:unhideWhenUsed/>
    <w:rsid w:val="00335D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D35"/>
    <w:rPr>
      <w:rFonts w:ascii="Tahoma" w:hAnsi="Tahoma" w:cs="Tahoma"/>
      <w:sz w:val="16"/>
      <w:szCs w:val="16"/>
    </w:rPr>
  </w:style>
  <w:style w:type="table" w:styleId="Tablaconcuadrcula">
    <w:name w:val="Table Grid"/>
    <w:basedOn w:val="Tablanormal"/>
    <w:uiPriority w:val="59"/>
    <w:rsid w:val="00E6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A30BE"/>
    <w:rPr>
      <w:sz w:val="18"/>
      <w:szCs w:val="18"/>
    </w:rPr>
  </w:style>
  <w:style w:type="paragraph" w:styleId="Textocomentario">
    <w:name w:val="annotation text"/>
    <w:basedOn w:val="Normal"/>
    <w:link w:val="TextocomentarioCar"/>
    <w:uiPriority w:val="99"/>
    <w:semiHidden/>
    <w:unhideWhenUsed/>
    <w:rsid w:val="005A30B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5A30BE"/>
    <w:rPr>
      <w:sz w:val="24"/>
      <w:szCs w:val="24"/>
    </w:rPr>
  </w:style>
  <w:style w:type="paragraph" w:styleId="Asuntodelcomentario">
    <w:name w:val="annotation subject"/>
    <w:basedOn w:val="Textocomentario"/>
    <w:next w:val="Textocomentario"/>
    <w:link w:val="AsuntodelcomentarioCar"/>
    <w:uiPriority w:val="99"/>
    <w:semiHidden/>
    <w:unhideWhenUsed/>
    <w:rsid w:val="005A30BE"/>
    <w:rPr>
      <w:b/>
      <w:bCs/>
      <w:sz w:val="20"/>
      <w:szCs w:val="20"/>
    </w:rPr>
  </w:style>
  <w:style w:type="character" w:customStyle="1" w:styleId="AsuntodelcomentarioCar">
    <w:name w:val="Asunto del comentario Car"/>
    <w:basedOn w:val="TextocomentarioCar"/>
    <w:link w:val="Asuntodelcomentario"/>
    <w:uiPriority w:val="99"/>
    <w:semiHidden/>
    <w:rsid w:val="005A30B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7248"/>
    <w:rPr>
      <w:color w:val="0000FF" w:themeColor="hyperlink"/>
      <w:u w:val="single"/>
    </w:rPr>
  </w:style>
  <w:style w:type="paragraph" w:styleId="Textodeglobo">
    <w:name w:val="Balloon Text"/>
    <w:basedOn w:val="Normal"/>
    <w:link w:val="TextodegloboCar"/>
    <w:uiPriority w:val="99"/>
    <w:semiHidden/>
    <w:unhideWhenUsed/>
    <w:rsid w:val="00335D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D35"/>
    <w:rPr>
      <w:rFonts w:ascii="Tahoma" w:hAnsi="Tahoma" w:cs="Tahoma"/>
      <w:sz w:val="16"/>
      <w:szCs w:val="16"/>
    </w:rPr>
  </w:style>
  <w:style w:type="table" w:styleId="Tablaconcuadrcula">
    <w:name w:val="Table Grid"/>
    <w:basedOn w:val="Tablanormal"/>
    <w:uiPriority w:val="59"/>
    <w:rsid w:val="00E6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A30BE"/>
    <w:rPr>
      <w:sz w:val="18"/>
      <w:szCs w:val="18"/>
    </w:rPr>
  </w:style>
  <w:style w:type="paragraph" w:styleId="Textocomentario">
    <w:name w:val="annotation text"/>
    <w:basedOn w:val="Normal"/>
    <w:link w:val="TextocomentarioCar"/>
    <w:uiPriority w:val="99"/>
    <w:semiHidden/>
    <w:unhideWhenUsed/>
    <w:rsid w:val="005A30B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5A30BE"/>
    <w:rPr>
      <w:sz w:val="24"/>
      <w:szCs w:val="24"/>
    </w:rPr>
  </w:style>
  <w:style w:type="paragraph" w:styleId="Asuntodelcomentario">
    <w:name w:val="annotation subject"/>
    <w:basedOn w:val="Textocomentario"/>
    <w:next w:val="Textocomentario"/>
    <w:link w:val="AsuntodelcomentarioCar"/>
    <w:uiPriority w:val="99"/>
    <w:semiHidden/>
    <w:unhideWhenUsed/>
    <w:rsid w:val="005A30BE"/>
    <w:rPr>
      <w:b/>
      <w:bCs/>
      <w:sz w:val="20"/>
      <w:szCs w:val="20"/>
    </w:rPr>
  </w:style>
  <w:style w:type="character" w:customStyle="1" w:styleId="AsuntodelcomentarioCar">
    <w:name w:val="Asunto del comentario Car"/>
    <w:basedOn w:val="TextocomentarioCar"/>
    <w:link w:val="Asuntodelcomentario"/>
    <w:uiPriority w:val="99"/>
    <w:semiHidden/>
    <w:rsid w:val="005A30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drobertson@fs.fed.us" TargetMode="External"/><Relationship Id="rId7" Type="http://schemas.openxmlformats.org/officeDocument/2006/relationships/hyperlink" Target="mailto:keggleston@fs.fed.us" TargetMode="External"/><Relationship Id="rId8" Type="http://schemas.openxmlformats.org/officeDocument/2006/relationships/hyperlink" Target="mailto:overtonec@gmail.com" TargetMode="External"/><Relationship Id="rId9" Type="http://schemas.openxmlformats.org/officeDocument/2006/relationships/hyperlink" Target="mailto:mmclaughlin01@fs.fed.us"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B9532-2C44-0743-977D-EAEBA389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3949</Words>
  <Characters>21722</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ndrobertson</dc:creator>
  <cp:keywords/>
  <dc:description/>
  <cp:lastModifiedBy>Soledad Diaz</cp:lastModifiedBy>
  <cp:revision>6</cp:revision>
  <dcterms:created xsi:type="dcterms:W3CDTF">2013-05-26T22:27:00Z</dcterms:created>
  <dcterms:modified xsi:type="dcterms:W3CDTF">2014-02-20T19:56:00Z</dcterms:modified>
</cp:coreProperties>
</file>